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ACFB" w14:textId="77777777" w:rsidR="00501F24" w:rsidRDefault="005D370D" w:rsidP="00A055B6">
      <w:pPr>
        <w:pBdr>
          <w:top w:val="nil"/>
          <w:left w:val="nil"/>
          <w:bottom w:val="nil"/>
          <w:right w:val="nil"/>
          <w:between w:val="nil"/>
        </w:pBdr>
        <w:rPr>
          <w:rFonts w:eastAsia="Times New Roman" w:cs="Times New Roman"/>
          <w:b/>
          <w:bCs/>
          <w:spacing w:val="-6"/>
          <w:sz w:val="32"/>
          <w:szCs w:val="32"/>
          <w:lang w:val="es-EC" w:eastAsia="en-US"/>
        </w:rPr>
      </w:pPr>
      <w:commentRangeStart w:id="0"/>
      <w:r w:rsidRPr="00A055B6">
        <w:rPr>
          <w:rFonts w:eastAsia="Times New Roman" w:cs="Times New Roman"/>
          <w:b/>
          <w:bCs/>
          <w:spacing w:val="-6"/>
          <w:sz w:val="32"/>
          <w:szCs w:val="32"/>
          <w:lang w:val="es-EC" w:eastAsia="en-US"/>
        </w:rPr>
        <w:t>Título</w:t>
      </w:r>
      <w:commentRangeEnd w:id="0"/>
      <w:r>
        <w:rPr>
          <w:rStyle w:val="Refdecomentario"/>
          <w:rFonts w:eastAsia="Times New Roman" w:cs="Times New Roman"/>
          <w:b/>
          <w:bCs/>
          <w:spacing w:val="-6"/>
          <w:sz w:val="32"/>
          <w:szCs w:val="32"/>
          <w:lang w:val="es-EC" w:eastAsia="en-US"/>
        </w:rPr>
        <w:commentReference w:id="0"/>
      </w:r>
    </w:p>
    <w:p w14:paraId="108FDD2C" w14:textId="77777777" w:rsidR="00A055B6" w:rsidRPr="00A055B6" w:rsidRDefault="00A055B6" w:rsidP="00A055B6">
      <w:pPr>
        <w:pBdr>
          <w:top w:val="nil"/>
          <w:left w:val="nil"/>
          <w:bottom w:val="nil"/>
          <w:right w:val="nil"/>
          <w:between w:val="nil"/>
        </w:pBdr>
        <w:rPr>
          <w:rFonts w:eastAsia="Times New Roman" w:cs="Times New Roman"/>
          <w:b/>
          <w:bCs/>
          <w:spacing w:val="-6"/>
          <w:sz w:val="32"/>
          <w:szCs w:val="32"/>
          <w:lang w:val="es-EC" w:eastAsia="en-US"/>
        </w:rPr>
      </w:pPr>
    </w:p>
    <w:p w14:paraId="5AE6FFC3" w14:textId="77777777" w:rsidR="5B163943" w:rsidRDefault="005D370D" w:rsidP="00A055B6">
      <w:pPr>
        <w:pBdr>
          <w:top w:val="nil"/>
          <w:left w:val="nil"/>
          <w:bottom w:val="nil"/>
          <w:right w:val="nil"/>
          <w:between w:val="nil"/>
        </w:pBdr>
        <w:rPr>
          <w:rFonts w:eastAsia="Times New Roman" w:cs="Times New Roman"/>
          <w:b/>
          <w:bCs/>
          <w:i/>
          <w:iCs/>
          <w:sz w:val="28"/>
          <w:szCs w:val="28"/>
          <w:lang w:val="en-US" w:eastAsia="en-US"/>
        </w:rPr>
      </w:pPr>
      <w:commentRangeStart w:id="1"/>
      <w:r w:rsidRPr="00A055B6">
        <w:rPr>
          <w:rFonts w:eastAsia="Times New Roman" w:cs="Times New Roman"/>
          <w:b/>
          <w:bCs/>
          <w:i/>
          <w:iCs/>
          <w:sz w:val="28"/>
          <w:szCs w:val="28"/>
          <w:lang w:val="en-US" w:eastAsia="en-US"/>
        </w:rPr>
        <w:t>Title</w:t>
      </w:r>
      <w:commentRangeEnd w:id="1"/>
      <w:r>
        <w:rPr>
          <w:rStyle w:val="Refdecomentario"/>
          <w:rFonts w:eastAsia="Times New Roman" w:cs="Times New Roman"/>
          <w:b/>
          <w:bCs/>
          <w:i/>
          <w:iCs/>
          <w:sz w:val="28"/>
          <w:szCs w:val="28"/>
          <w:lang w:val="en-US" w:eastAsia="en-US"/>
        </w:rPr>
        <w:commentReference w:id="1"/>
      </w:r>
    </w:p>
    <w:p w14:paraId="6AB629A3" w14:textId="77777777" w:rsidR="00A055B6" w:rsidRPr="00A055B6" w:rsidRDefault="00A055B6" w:rsidP="00A055B6">
      <w:pPr>
        <w:pBdr>
          <w:top w:val="nil"/>
          <w:left w:val="nil"/>
          <w:bottom w:val="nil"/>
          <w:right w:val="nil"/>
          <w:between w:val="nil"/>
        </w:pBdr>
        <w:rPr>
          <w:rFonts w:eastAsia="Times New Roman" w:cs="Times New Roman"/>
          <w:b/>
          <w:bCs/>
          <w:i/>
          <w:iCs/>
          <w:sz w:val="28"/>
          <w:szCs w:val="28"/>
          <w:lang w:val="en-US" w:eastAsia="en-US"/>
        </w:rPr>
      </w:pPr>
    </w:p>
    <w:p w14:paraId="14759527" w14:textId="3E410AFC" w:rsidR="00B569FA" w:rsidRPr="00B569FA" w:rsidRDefault="00B569FA" w:rsidP="00B7698C">
      <w:pPr>
        <w:pStyle w:val="SARJPrimerprrafo"/>
        <w:rPr>
          <w:color w:val="EE0000"/>
        </w:rPr>
      </w:pPr>
      <w:r w:rsidRPr="00B569FA">
        <w:rPr>
          <w:color w:val="EE0000"/>
        </w:rPr>
        <w:t xml:space="preserve">Instrucciones preliminares: </w:t>
      </w:r>
    </w:p>
    <w:p w14:paraId="6AEEB454" w14:textId="4E3CFAFD" w:rsidR="00501F24" w:rsidRPr="00B569FA" w:rsidRDefault="005D370D" w:rsidP="00B7698C">
      <w:pPr>
        <w:pStyle w:val="SARJPrimerprrafo"/>
        <w:rPr>
          <w:color w:val="EE0000"/>
        </w:rPr>
      </w:pPr>
      <w:r w:rsidRPr="00B569FA">
        <w:rPr>
          <w:color w:val="EE0000"/>
        </w:rPr>
        <w:t>Sustituya los textos de ejemplo por su artículo y conserve los estilos SARJ de Inicio → Estilos. Pegue como «Conservar solo texto» y aplique el estilo correspondiente.</w:t>
      </w:r>
    </w:p>
    <w:p w14:paraId="61A62393" w14:textId="5D9F95A6" w:rsidR="00A055B6" w:rsidRPr="00B569FA" w:rsidRDefault="00501F24" w:rsidP="00501F24">
      <w:pPr>
        <w:pStyle w:val="SARJPrimerprrafo"/>
        <w:rPr>
          <w:color w:val="EE0000"/>
        </w:rPr>
      </w:pPr>
      <w:r w:rsidRPr="00B569FA">
        <w:rPr>
          <w:color w:val="EE0000"/>
        </w:rPr>
        <w:t xml:space="preserve">Para evaluación anónima, omita los nombres, las afiliaciones, los correos y los ORCID. </w:t>
      </w:r>
      <w:r w:rsidR="00A055B6" w:rsidRPr="00B569FA">
        <w:rPr>
          <w:color w:val="EE0000"/>
        </w:rPr>
        <w:t>Para anonimizar e</w:t>
      </w:r>
      <w:r w:rsidR="00A055B6" w:rsidRPr="00B569FA">
        <w:rPr>
          <w:color w:val="EE0000"/>
        </w:rPr>
        <w:t>n Word, vaya a Archivo → Información → Comprobar si hay problemas → Inspeccionar documento. Marque Propiedades del documento e información personal, pulse Inspeccionar y luego Quitar todo. Guarde una copia anonimizada.</w:t>
      </w:r>
    </w:p>
    <w:p w14:paraId="6288E835" w14:textId="741F781B" w:rsidR="00501F24" w:rsidRPr="00B569FA" w:rsidRDefault="00501F24" w:rsidP="00501F24">
      <w:pPr>
        <w:pStyle w:val="SARJPrimerprrafo"/>
        <w:rPr>
          <w:color w:val="EE0000"/>
        </w:rPr>
      </w:pPr>
      <w:r w:rsidRPr="00B569FA">
        <w:rPr>
          <w:color w:val="EE0000"/>
        </w:rPr>
        <w:t>Registre la autoría en OJS</w:t>
      </w:r>
      <w:r w:rsidR="00A055B6" w:rsidRPr="00B569FA">
        <w:rPr>
          <w:color w:val="EE0000"/>
        </w:rPr>
        <w:t xml:space="preserve"> detallando un perfil de entre 40-80 palabras</w:t>
      </w:r>
      <w:r w:rsidRPr="00B569FA">
        <w:rPr>
          <w:color w:val="EE0000"/>
        </w:rPr>
        <w:t>.</w:t>
      </w:r>
    </w:p>
    <w:p w14:paraId="39413676" w14:textId="77777777" w:rsidR="00450B00" w:rsidRPr="00B569FA" w:rsidRDefault="00DB64DC" w:rsidP="00501F24">
      <w:pPr>
        <w:pStyle w:val="SARJPrimerprrafo"/>
        <w:rPr>
          <w:color w:val="EE0000"/>
        </w:rPr>
      </w:pPr>
      <w:r w:rsidRPr="00B569FA">
        <w:rPr>
          <w:color w:val="EE0000"/>
        </w:rPr>
        <w:t>Formato: Times New Roman; títulos de sección 14 pt, subtítulos 13 pt y contenido 12 pt. Interlineado sencillo, sin líneas vacías entre párrafos.</w:t>
      </w:r>
    </w:p>
    <w:p w14:paraId="15D3145A" w14:textId="77777777" w:rsidR="009C2DF6" w:rsidRPr="00B569FA" w:rsidRDefault="009C2DF6" w:rsidP="009C2DF6">
      <w:pPr>
        <w:pStyle w:val="SARJPrimerprrafo"/>
        <w:rPr>
          <w:color w:val="EE0000"/>
        </w:rPr>
      </w:pPr>
      <w:commentRangeStart w:id="2"/>
      <w:r w:rsidRPr="00B569FA">
        <w:rPr>
          <w:color w:val="EE0000"/>
        </w:rPr>
        <w:t>El primer párrafo después de un título o subtítulo no lleva sangría. Los siguientes llevan 0,74 cm. Use los estilos, sin tabulaciones ni espacios manuales. Retire estas instrucciones y los comentarios antes del envío.</w:t>
      </w:r>
      <w:commentRangeEnd w:id="2"/>
      <w:r w:rsidRPr="00B569FA">
        <w:rPr>
          <w:rStyle w:val="Refdecomentario"/>
          <w:color w:val="EE0000"/>
          <w:sz w:val="24"/>
          <w:szCs w:val="22"/>
        </w:rPr>
        <w:commentReference w:id="2"/>
      </w:r>
    </w:p>
    <w:p w14:paraId="5DC07F1C" w14:textId="77777777" w:rsidR="00450B00" w:rsidRPr="00CB0045" w:rsidRDefault="00450B00" w:rsidP="009C2DF6">
      <w:pPr>
        <w:pStyle w:val="SARJSeccin"/>
      </w:pPr>
      <w:commentRangeStart w:id="3"/>
      <w:r w:rsidRPr="00CB0045">
        <w:rPr>
          <w:bCs/>
        </w:rPr>
        <w:t>RESUMEN</w:t>
      </w:r>
      <w:commentRangeEnd w:id="3"/>
      <w:r w:rsidRPr="00CB0045">
        <w:rPr>
          <w:rStyle w:val="Refdecomentario"/>
          <w:sz w:val="28"/>
          <w:szCs w:val="22"/>
        </w:rPr>
        <w:commentReference w:id="3"/>
      </w:r>
    </w:p>
    <w:p w14:paraId="3CD93AC6" w14:textId="77777777" w:rsidR="00CA257B" w:rsidRPr="00A055B6" w:rsidRDefault="005D370D" w:rsidP="00B34403">
      <w:pPr>
        <w:pStyle w:val="SARJPrimerprrafo"/>
        <w:rPr>
          <w:lang w:val="en-US"/>
        </w:rPr>
      </w:pPr>
      <w:r w:rsidRPr="00A055B6">
        <w:rPr>
          <w:kern w:val="24"/>
        </w:rPr>
        <w:t xml:space="preserve">Haec investigatio relationem inter educationem, laborem et </w:t>
      </w:r>
      <w:r w:rsidRPr="00A055B6">
        <w:t>participationem</w:t>
      </w:r>
      <w:r w:rsidRPr="00A055B6">
        <w:rPr>
          <w:kern w:val="24"/>
        </w:rPr>
        <w:t xml:space="preserve"> communitariam in tribus regionibus Americae Australis explorat. </w:t>
      </w:r>
      <w:r w:rsidRPr="005D370D">
        <w:rPr>
          <w:kern w:val="24"/>
          <w:lang w:val="en-US"/>
        </w:rPr>
        <w:t xml:space="preserve">Propositum principale fuit intellegere quomodo incolae mutationes sociales percipiant et quibus modis institutiones locales ad necessitates communitatum respondeant. Studium mixtum adhibitum est, coniungens quaestionaria, colloquia et observationes in locis urbanis atque ruralibus. </w:t>
      </w:r>
      <w:r w:rsidRPr="005D370D">
        <w:rPr>
          <w:kern w:val="24"/>
        </w:rPr>
        <w:t xml:space="preserve">Participaverunt quadringenti viginti adulti ex diversis condicionibus socialibus et oeconomicis. </w:t>
      </w:r>
      <w:r w:rsidRPr="005D370D">
        <w:rPr>
          <w:kern w:val="24"/>
          <w:lang w:val="en-US"/>
        </w:rPr>
        <w:t xml:space="preserve">Eventus indicant accessum ad educationem et stabilitatem laboris cum maiore fiducia in institutionibus coniungi. Attamen differentiae inter regiones observatae sunt, praesertim in disponibilitate servitiorum publicorum et opportunitatibus iuvenum. In communitatibus ruralibus, vincula familiarum et cooperatio inter vicinos partes magni momenti habuerunt. In urbibus, maiores opportunitates professionales saepe cum incertitudine laboris et debilioribus vinculis communitariis coexistebant. Colloquia demonstraverunt participationem civium augeri cum decisiones publicae aperte communicarentur et experientiae </w:t>
      </w:r>
      <w:r w:rsidRPr="005D370D">
        <w:rPr>
          <w:kern w:val="24"/>
          <w:lang w:val="en-US"/>
        </w:rPr>
        <w:t>locales considerarentur. Praeterea participantes necessitatem formationis continuae, melioris communicationis institutionalis et aequioris distributionis opum expresserunt. Concluditur progressionem regionalem non tantum ab incrementis oeconomicis pendere, sed etiam a qualitate relationum socialium et facultate communitatum in decisionibus participandi. Investigatio suggerit consilia publica diversitati territoriorum accommodanda esse atque cooperationem inter universitates, institutiones locales et cives confirmandam. Futura studia mutationes per longiora temporis intervalla examinare poterunt.</w:t>
      </w:r>
      <w:r w:rsidR="00CA257B" w:rsidRPr="005D370D">
        <w:rPr>
          <w:kern w:val="24"/>
          <w:lang w:val="en-US"/>
        </w:rPr>
        <w:t>.</w:t>
      </w:r>
    </w:p>
    <w:p w14:paraId="74B0A374" w14:textId="77777777" w:rsidR="00450B00" w:rsidRPr="009C2DF6" w:rsidRDefault="00DB64DC" w:rsidP="00CB0045">
      <w:pPr>
        <w:pStyle w:val="SARJPrimerprrafo"/>
      </w:pPr>
      <w:commentRangeStart w:id="4"/>
      <w:r w:rsidRPr="009C2DF6">
        <w:rPr>
          <w:b/>
          <w:bCs/>
          <w:kern w:val="24"/>
        </w:rPr>
        <w:t>Palabras clave</w:t>
      </w:r>
      <w:r w:rsidRPr="009C2DF6">
        <w:rPr>
          <w:kern w:val="24"/>
        </w:rPr>
        <w:t xml:space="preserve">: </w:t>
      </w:r>
      <w:r w:rsidR="005D370D" w:rsidRPr="005D370D">
        <w:rPr>
          <w:kern w:val="24"/>
        </w:rPr>
        <w:t>educatio, labor, participatio communitaria, progressio regionalis, America Australis.</w:t>
      </w:r>
      <w:commentRangeEnd w:id="4"/>
      <w:r w:rsidRPr="009C2DF6">
        <w:rPr>
          <w:rStyle w:val="Refdecomentario"/>
          <w:sz w:val="24"/>
          <w:szCs w:val="22"/>
        </w:rPr>
        <w:commentReference w:id="4"/>
      </w:r>
    </w:p>
    <w:p w14:paraId="377B9E10" w14:textId="77777777" w:rsidR="00CA257B" w:rsidRPr="00A055B6" w:rsidRDefault="00CB0045" w:rsidP="00CB0045">
      <w:pPr>
        <w:pStyle w:val="SARJSeccin"/>
        <w:rPr>
          <w:lang w:val="en-US"/>
        </w:rPr>
      </w:pPr>
      <w:commentRangeStart w:id="5"/>
      <w:r w:rsidRPr="00CB0045">
        <w:rPr>
          <w:bCs/>
          <w:lang w:val="en-US"/>
        </w:rPr>
        <w:t>ABSTRACT</w:t>
      </w:r>
      <w:commentRangeEnd w:id="5"/>
      <w:r w:rsidRPr="00A055B6">
        <w:rPr>
          <w:rStyle w:val="Refdecomentario"/>
          <w:sz w:val="28"/>
          <w:szCs w:val="22"/>
          <w:lang w:val="en-US"/>
        </w:rPr>
        <w:commentReference w:id="5"/>
      </w:r>
    </w:p>
    <w:p w14:paraId="1C6BAEA5" w14:textId="77777777" w:rsidR="00DB64DC" w:rsidRPr="00A055B6" w:rsidRDefault="005D370D" w:rsidP="00B34403">
      <w:pPr>
        <w:pStyle w:val="SARJPrimerprrafo"/>
        <w:rPr>
          <w:lang w:val="en-US"/>
        </w:rPr>
      </w:pPr>
      <w:r w:rsidRPr="005D370D">
        <w:rPr>
          <w:lang w:val="en-US"/>
        </w:rPr>
        <w:t xml:space="preserve">Haec investigatio relationem inter educationem, laborem et participationem communitariam in tribus regionibus Americae Australis </w:t>
      </w:r>
      <w:r w:rsidRPr="00B34403">
        <w:rPr>
          <w:lang w:val="en-US"/>
        </w:rPr>
        <w:t>explorat</w:t>
      </w:r>
      <w:r w:rsidRPr="005D370D">
        <w:rPr>
          <w:lang w:val="en-US"/>
        </w:rPr>
        <w:t xml:space="preserve">. Propositum principale fuit intellegere quomodo incolae mutationes sociales percipiant et quibus modis institutiones locales ad necessitates communitatum respondeant. Studium mixtum adhibitum est, coniungens quaestionaria, colloquia et observationes in locis urbanis atque ruralibus. </w:t>
      </w:r>
      <w:r w:rsidRPr="005D370D">
        <w:rPr>
          <w:lang w:val="es-ES"/>
        </w:rPr>
        <w:t xml:space="preserve">Participaverunt quadringenti viginti adulti ex diversis condicionibus socialibus et oeconomicis. </w:t>
      </w:r>
      <w:r w:rsidRPr="005D370D">
        <w:rPr>
          <w:lang w:val="en-US"/>
        </w:rPr>
        <w:t xml:space="preserve">Eventus indicant accessum ad educationem et stabilitatem laboris cum maiore fiducia in institutionibus coniungi. Attamen differentiae inter regiones observatae sunt, praesertim in disponibilitate servitiorum publicorum et opportunitatibus iuvenum. In communitatibus ruralibus, vincula familiarum et cooperatio inter vicinos partes magni momenti habuerunt. In urbibus, maiores opportunitates professionales saepe cum incertitudine laboris et debilioribus vinculis communitariis coexistebant. Colloquia demonstraverunt participationem civium augeri cum decisiones publicae aperte communicarentur et experientiae locales considerarentur. Praeterea participantes necessitatem formationis continuae, melioris communicationis institutionalis et aequioris distributionis opum expresserunt. Concluditur progressionem regionalem non tantum ab incrementis oeconomicis pendere, sed etiam a qualitate relationum socialium et facultate communitatum in decisionibus participandi. Investigatio suggerit consilia publica diversitati territoriorum accommodanda esse atque cooperationem inter universitates, institutiones locales et cives confirmandam. Futura studia </w:t>
      </w:r>
      <w:r w:rsidRPr="005D370D">
        <w:rPr>
          <w:lang w:val="en-US"/>
        </w:rPr>
        <w:lastRenderedPageBreak/>
        <w:t>mutationes per longiora temporis intervalla examinare poterunt.</w:t>
      </w:r>
      <w:r w:rsidR="00CA257B">
        <w:rPr>
          <w:lang w:val="en-US"/>
        </w:rPr>
        <w:t>.</w:t>
      </w:r>
    </w:p>
    <w:p w14:paraId="6A17B9D2" w14:textId="77777777" w:rsidR="00CB0045" w:rsidRDefault="3755BACF" w:rsidP="00CB0045">
      <w:pPr>
        <w:pStyle w:val="SARJPrimerprrafo"/>
      </w:pPr>
      <w:r w:rsidRPr="009C2DF6">
        <w:rPr>
          <w:b/>
          <w:bCs/>
          <w:lang w:val="en-US"/>
        </w:rPr>
        <w:t>Keywords:</w:t>
      </w:r>
      <w:r w:rsidRPr="009C2DF6">
        <w:rPr>
          <w:lang w:val="en-US"/>
        </w:rPr>
        <w:t xml:space="preserve"> </w:t>
      </w:r>
      <w:r w:rsidR="005D370D" w:rsidRPr="005D370D">
        <w:rPr>
          <w:lang w:val="en-US"/>
        </w:rPr>
        <w:t>educatio, labor, participatio communitaria, progressio regionalis, America Australis.</w:t>
      </w:r>
    </w:p>
    <w:p w14:paraId="2B408AE0" w14:textId="77777777" w:rsidR="00E70BFA" w:rsidRPr="00CB0045" w:rsidRDefault="00E70BFA" w:rsidP="009C2DF6">
      <w:pPr>
        <w:pStyle w:val="SARJSeccin"/>
      </w:pPr>
      <w:commentRangeStart w:id="6"/>
      <w:r w:rsidRPr="00CB0045">
        <w:rPr>
          <w:bCs/>
        </w:rPr>
        <w:t>INTRODUCCIÓN</w:t>
      </w:r>
      <w:commentRangeEnd w:id="6"/>
      <w:r w:rsidRPr="00CB0045">
        <w:rPr>
          <w:rStyle w:val="Refdecomentario"/>
          <w:sz w:val="28"/>
          <w:szCs w:val="22"/>
        </w:rPr>
        <w:commentReference w:id="6"/>
      </w:r>
    </w:p>
    <w:p w14:paraId="661C8831" w14:textId="77777777" w:rsidR="005D370D" w:rsidRPr="00A055B6" w:rsidRDefault="005D370D" w:rsidP="005D370D">
      <w:pPr>
        <w:pStyle w:val="SARJPrimerprrafo"/>
        <w:rPr>
          <w:lang w:val="en-US"/>
        </w:rPr>
      </w:pPr>
      <w:r w:rsidRPr="005D370D">
        <w:rPr>
          <w:lang w:val="es-ES"/>
        </w:rPr>
        <w:t xml:space="preserve">America Australis magnam diversitatem socialem, culturalem et territorialem complectitur, quae in accessu ad educationem, condicionibus laboris et formis participationis communitariae manifestatur. Quamvis complures regiones progressus in servitiis publicis et institutionibus educativis ostenderint, inaequalitates inter urbes et agros atque inter diversos coetus sociales permanent. </w:t>
      </w:r>
      <w:r w:rsidRPr="005D370D">
        <w:rPr>
          <w:lang w:val="en-US"/>
        </w:rPr>
        <w:t>Hae differentiae opportunitates vitae afficiunt et modos quibus cives futurum suum interpretantur.</w:t>
      </w:r>
    </w:p>
    <w:p w14:paraId="6FA1B151" w14:textId="77777777" w:rsidR="005D370D" w:rsidRPr="00A055B6" w:rsidRDefault="005D370D" w:rsidP="005D370D">
      <w:pPr>
        <w:pStyle w:val="SARJPrrafo"/>
        <w:rPr>
          <w:lang w:val="en-US"/>
        </w:rPr>
      </w:pPr>
      <w:commentRangeStart w:id="7"/>
      <w:r w:rsidRPr="005D370D">
        <w:rPr>
          <w:lang w:val="en-US"/>
        </w:rPr>
        <w:t>Educatio saepe tamquam instrumentum mobilitatis socialis et incrementi personalis consideratur. Eius tamen effectus a condicionibus oeconomicis, facultatibus familiarum et qualitate institutionum pendent. Similiter labor, praeter reditum necessarium ad vitam cotidianam, sensum dignitatis, stabilitatis et pertinendi ad communitatem praebere potest. Cum occupationes incertae sunt aut opportunitates professionales desunt, fiducia in institutionibus et exspectationes progressionis debilitari possunt.</w:t>
      </w:r>
      <w:commentRangeEnd w:id="7"/>
      <w:r w:rsidRPr="00A055B6">
        <w:rPr>
          <w:rStyle w:val="Refdecomentario"/>
          <w:sz w:val="24"/>
          <w:szCs w:val="22"/>
          <w:lang w:val="en-US"/>
        </w:rPr>
        <w:commentReference w:id="7"/>
      </w:r>
    </w:p>
    <w:p w14:paraId="291C5162" w14:textId="77777777" w:rsidR="005D370D" w:rsidRPr="00A055B6" w:rsidRDefault="005D370D" w:rsidP="005D370D">
      <w:pPr>
        <w:pStyle w:val="SARJPrrafo"/>
        <w:rPr>
          <w:lang w:val="en-US"/>
        </w:rPr>
      </w:pPr>
      <w:r w:rsidRPr="005D370D">
        <w:rPr>
          <w:lang w:val="en-US"/>
        </w:rPr>
        <w:t>Participatio communitaria spatium constituit in quo experientiae individuales cum necessitatibus collectivis conveniunt. Per consociationes locales, conventus civium et cooperationem inter vicinos, communitates difficultates communes agnoscere et responsa elaborare conantur. Attamen facultas participandi aequaliter distribuita non est. Tempus praesto, opes materiales, accessus ad informationem et cognitio processuum institutionalium participationem fovere vel impedire possunt.</w:t>
      </w:r>
    </w:p>
    <w:p w14:paraId="3E6AF83D" w14:textId="77777777" w:rsidR="005D370D" w:rsidRPr="00A055B6" w:rsidRDefault="005D370D" w:rsidP="005D370D">
      <w:pPr>
        <w:pStyle w:val="SARJPrrafo"/>
        <w:rPr>
          <w:lang w:val="en-US"/>
        </w:rPr>
      </w:pPr>
      <w:r w:rsidRPr="005D370D">
        <w:rPr>
          <w:lang w:val="en-US"/>
        </w:rPr>
        <w:t>Relationes inter educationem, laborem et participationem secundum territorium varias formas accipiunt. In regionibus ruralibus, vincula familiarum et consuetudines cooperationis peculiarem momentum habere possunt. In urbibus, maior densitas institutionum et diversitas occupationum novas opportunitates praebent, sed etiam difficultates communicationis et segregationem socialem producere possunt. Propterea analysis harum relationum considerationem contextuum localium requirit.</w:t>
      </w:r>
    </w:p>
    <w:p w14:paraId="28C21B9F" w14:textId="77777777" w:rsidR="00E70BFA" w:rsidRPr="00A055B6" w:rsidRDefault="005D370D" w:rsidP="005D370D">
      <w:pPr>
        <w:pStyle w:val="SARJPrrafo"/>
        <w:rPr>
          <w:lang w:val="en-US"/>
        </w:rPr>
      </w:pPr>
      <w:r w:rsidRPr="005D370D">
        <w:rPr>
          <w:lang w:val="en-US"/>
        </w:rPr>
        <w:t xml:space="preserve">Praesens investigatio has quaestiones in tribus regionibus Americae Australis examinat. Propositum est describere quomodo condiciones educationis et laboris cum participatione communitaria et </w:t>
      </w:r>
      <w:r w:rsidRPr="005D370D">
        <w:rPr>
          <w:lang w:val="en-US"/>
        </w:rPr>
        <w:t>fiducia institutionali coniungantur, necnon intellegere interpretationes quas incolae propriis experientiis tribuunt. Coniunctio informationum quantitativarum et narrationum participantium cognitionem harum relationum ampliare intendit atque elementa ad consilia publica necessitatibus territorialibus accommodata praebere.</w:t>
      </w:r>
    </w:p>
    <w:p w14:paraId="39AA65F9" w14:textId="77777777" w:rsidR="00DB64DC" w:rsidRPr="009C2DF6" w:rsidRDefault="45E6BC37" w:rsidP="005D370D">
      <w:pPr>
        <w:pStyle w:val="SARJSeccin"/>
      </w:pPr>
      <w:commentRangeStart w:id="8"/>
      <w:r w:rsidRPr="009C2DF6">
        <w:rPr>
          <w:bCs/>
        </w:rPr>
        <w:t>METODOLOG</w:t>
      </w:r>
      <w:r w:rsidR="00E24628" w:rsidRPr="009C2DF6">
        <w:rPr>
          <w:bCs/>
        </w:rPr>
        <w:t>ÍA</w:t>
      </w:r>
      <w:commentRangeEnd w:id="8"/>
      <w:r w:rsidRPr="009C2DF6">
        <w:rPr>
          <w:rStyle w:val="Refdecomentario"/>
          <w:sz w:val="28"/>
          <w:szCs w:val="22"/>
        </w:rPr>
        <w:commentReference w:id="8"/>
      </w:r>
    </w:p>
    <w:p w14:paraId="5916D8AC" w14:textId="77777777" w:rsidR="005D370D" w:rsidRPr="005D370D" w:rsidRDefault="005D370D" w:rsidP="005D370D">
      <w:pPr>
        <w:pStyle w:val="SARJPrimerprrafo"/>
      </w:pPr>
      <w:r w:rsidRPr="005D370D">
        <w:t xml:space="preserve">Investigatio consilio mixto et transversali effecta est, coniungens analysim quantitativam cum interpretatione experientiarum participantium. Tres regiones Americae Australis selectae sunt propter diversitatem condicionum socialium, oeconomicarum et territorialium. </w:t>
      </w:r>
      <w:r w:rsidRPr="00A055B6">
        <w:t>In unaquaque regione inclusae sunt communitates urbanae et rurales, ut variae formae accessus ad educationem, laboris et participationis communitariae compararentur.</w:t>
      </w:r>
    </w:p>
    <w:p w14:paraId="5C8328CE" w14:textId="77777777" w:rsidR="004012E2" w:rsidRDefault="00000000">
      <w:pPr>
        <w:pStyle w:val="SARJSubttulo"/>
      </w:pPr>
      <w:commentRangeStart w:id="9"/>
      <w:r>
        <w:t>Participantes o fuentes de información</w:t>
      </w:r>
      <w:commentRangeEnd w:id="9"/>
      <w:r>
        <w:rPr>
          <w:rStyle w:val="Refdecomentario"/>
          <w:sz w:val="26"/>
          <w:szCs w:val="22"/>
        </w:rPr>
        <w:commentReference w:id="9"/>
      </w:r>
    </w:p>
    <w:p w14:paraId="2EC15D60" w14:textId="77777777" w:rsidR="005D370D" w:rsidRPr="005D370D" w:rsidRDefault="005D370D" w:rsidP="005D370D">
      <w:pPr>
        <w:pStyle w:val="SARJPrimerprrafo"/>
      </w:pPr>
      <w:r w:rsidRPr="00A055B6">
        <w:rPr>
          <w:lang w:val="es-ES"/>
        </w:rPr>
        <w:t>Participaverunt quadringenti viginti adulti, qui saltem duodeviginti annos nati erant et in communitatibus investigatis per annum vel amplius habitaverant. Selectio secundum quotas facta est, consideratis aetate, genere et loco habitationis. Ex hoc numero, triginta participantes ad colloquia invitati sunt, ut diversae condiciones laboris, gradus educationis et experientiae participationis representarentur.</w:t>
      </w:r>
    </w:p>
    <w:p w14:paraId="4B27ECFD" w14:textId="77777777" w:rsidR="005D370D" w:rsidRPr="00A055B6" w:rsidRDefault="005D370D" w:rsidP="005D370D">
      <w:pPr>
        <w:pStyle w:val="SARJPrrafo"/>
        <w:rPr>
          <w:lang w:val="en-US"/>
        </w:rPr>
      </w:pPr>
      <w:r w:rsidRPr="00A055B6">
        <w:rPr>
          <w:lang w:val="es-ES"/>
        </w:rPr>
        <w:t xml:space="preserve">Instrumentum quantitativum constitit ex quaestionario in quattuor partes diviso. </w:t>
      </w:r>
      <w:r w:rsidRPr="005D370D">
        <w:t xml:space="preserve">Prima pars informationes generales de participantibus collegit. Ceterae partes condiciones educationis et laboris, participationem in actionibus communitariis atque fiduciam in institutionibus exploraverunt. </w:t>
      </w:r>
      <w:r w:rsidRPr="005D370D">
        <w:rPr>
          <w:lang w:val="en-US"/>
        </w:rPr>
        <w:t>Quaestiones clausae et scalae quinque graduum adhibitae sunt. Ante collectionem principalem, instrumentum cum viginti adultis probatum est ad claritatem enuntiationum et tempus responsionis aestimanda. Hi participantes in analysi finali non inclusi sunt.</w:t>
      </w:r>
    </w:p>
    <w:p w14:paraId="55BB79D4" w14:textId="77777777" w:rsidR="005D370D" w:rsidRPr="005D370D" w:rsidRDefault="005D370D" w:rsidP="005D370D">
      <w:pPr>
        <w:pStyle w:val="SARJPrrafo"/>
      </w:pPr>
      <w:r w:rsidRPr="005D370D">
        <w:rPr>
          <w:lang w:val="en-US"/>
        </w:rPr>
        <w:t xml:space="preserve">Colloquia semistructurata experientias educationis, trajectorias laboris et relationes cum institutionibus localibus tractaverunt. </w:t>
      </w:r>
      <w:r w:rsidRPr="005D370D">
        <w:t>Unumquodque colloquium inter triginta et quinquaginta minuta duravit et, consentientibus participantibus, instrumento sonoro registratum est. Praeterea observationes in conventibus communitariis factae sunt, quarum notae contextum localem et formas interactionis inter participantes descripserunt.</w:t>
      </w:r>
    </w:p>
    <w:p w14:paraId="143DA4A4" w14:textId="77777777" w:rsidR="005D370D" w:rsidRPr="005D370D" w:rsidRDefault="005D370D" w:rsidP="005D370D">
      <w:pPr>
        <w:pStyle w:val="SARJPrrafo"/>
      </w:pPr>
      <w:r w:rsidRPr="005D370D">
        <w:t xml:space="preserve">Data quantitativa per frequentias, proportiones et mensuras centrales examinata sunt. Differentiae inter regiones et loca habitationis per probationes </w:t>
      </w:r>
      <w:r w:rsidRPr="005D370D">
        <w:lastRenderedPageBreak/>
        <w:t>statisticas naturae variabilium accommodatas aestimatae sunt. Colloquia transcripta et notae observationis per analysim thematicam interpretata sunt. Categoriae initiales ex propositis investigationis deductae sunt atque novis thematibus ex narrationibus emergentibus completae. Eventus utriusque analysis comparati sunt ad convenientias et discrepantias identificandas.</w:t>
      </w:r>
    </w:p>
    <w:p w14:paraId="1BE1ED44" w14:textId="77777777" w:rsidR="00DB64DC" w:rsidRPr="009C2DF6" w:rsidRDefault="005D370D" w:rsidP="005D370D">
      <w:pPr>
        <w:pStyle w:val="SARJPrrafo"/>
      </w:pPr>
      <w:r w:rsidRPr="005D370D">
        <w:t>Omnes participantes de propositis investigationis, usu informationum et libertate participationem intermittendi certiores facti sunt. Consensus informatus ante collectionem datorum obtentus est. Nomina participantium codicibus substituta sunt, et documenta in archivo aditu restricto conservata sunt. Interpretatio eventuum rationem habuit selectionis non probabilisticae et consilii transversalis, quae generalizationem et conclusiones causales limitant.</w:t>
      </w:r>
    </w:p>
    <w:p w14:paraId="4557FA55" w14:textId="77777777" w:rsidR="00E70BFA" w:rsidRPr="009C2DF6" w:rsidRDefault="00DB64DC" w:rsidP="00CB0045">
      <w:pPr>
        <w:pStyle w:val="SARJSeccin"/>
      </w:pPr>
      <w:commentRangeStart w:id="10"/>
      <w:r w:rsidRPr="009C2DF6">
        <w:rPr>
          <w:bCs/>
        </w:rPr>
        <w:t>RESULTADOS</w:t>
      </w:r>
      <w:commentRangeEnd w:id="10"/>
      <w:r w:rsidRPr="009C2DF6">
        <w:rPr>
          <w:rStyle w:val="Refdecomentario"/>
          <w:sz w:val="28"/>
          <w:szCs w:val="22"/>
        </w:rPr>
        <w:commentReference w:id="10"/>
      </w:r>
    </w:p>
    <w:p w14:paraId="5B2B644C" w14:textId="77777777" w:rsidR="00DF4C1B" w:rsidRDefault="005D370D" w:rsidP="00CB0045">
      <w:pPr>
        <w:pStyle w:val="SARJPrimerprrafo"/>
      </w:pPr>
      <w:r w:rsidRPr="00A055B6">
        <w:t>Eventus sequentes ficticii sunt et ad exemplum formae editorialis tantum adhibentur.</w:t>
      </w:r>
    </w:p>
    <w:p w14:paraId="2AB39426" w14:textId="77777777" w:rsidR="00DF4C1B" w:rsidRPr="00A055B6" w:rsidRDefault="005D370D" w:rsidP="00CB0045">
      <w:pPr>
        <w:pStyle w:val="SARJPrrafo"/>
        <w:rPr>
          <w:lang w:val="en-US"/>
        </w:rPr>
      </w:pPr>
      <w:r w:rsidRPr="00A055B6">
        <w:rPr>
          <w:lang w:val="es-ES"/>
        </w:rPr>
        <w:t xml:space="preserve">Analysi inclusi sunt quadringenti viginti participantes, aequaliter inter tres regiones distributi. Aetas media fuit 38,6 annorum. Ex universo participantium numero, 54,8% feminae erant et 45,2% viri. </w:t>
      </w:r>
      <w:r w:rsidRPr="005D370D">
        <w:rPr>
          <w:lang w:val="en-US"/>
        </w:rPr>
        <w:t>Praeterea 60,0% in locis urbanis habitabant, dum 40,0% in communitatibus ruralibus residebant.</w:t>
      </w:r>
    </w:p>
    <w:p w14:paraId="464735CB" w14:textId="77777777" w:rsidR="005D370D" w:rsidRDefault="005D370D" w:rsidP="00CB0045">
      <w:pPr>
        <w:pStyle w:val="SARJPrrafo"/>
      </w:pPr>
      <w:r w:rsidRPr="005D370D">
        <w:rPr>
          <w:lang w:val="en-US"/>
        </w:rPr>
        <w:t xml:space="preserve">Differentiae descriptivae inter regiones in educatione superiore, stabilitate laboris et participatione communitaria observatae sunt. Regio B maiorem proportionem participantium cum educatione superiore et labore stabili exhibuit. Eadem regio etiam maiorem frequentiam participationis communitariae praesentavit. </w:t>
      </w:r>
      <w:r w:rsidRPr="005D370D">
        <w:rPr>
          <w:lang w:val="es-ES"/>
        </w:rPr>
        <w:t>Regio C inferiores proportiones in tribus indicibus ostendit</w:t>
      </w:r>
      <w:r>
        <w:rPr>
          <w:lang w:val="es-ES"/>
        </w:rPr>
        <w:t>.</w:t>
      </w:r>
    </w:p>
    <w:p w14:paraId="34E78B3B" w14:textId="77777777" w:rsidR="00B34403" w:rsidRDefault="00B34403" w:rsidP="00881C2D">
      <w:pPr>
        <w:rPr>
          <w:rFonts w:ascii="Aptos Narrow" w:eastAsia="Times New Roman" w:hAnsi="Aptos Narrow" w:cs="Times New Roman"/>
          <w:b/>
          <w:bCs/>
        </w:rPr>
        <w:sectPr w:rsidR="00B34403" w:rsidSect="00B34403">
          <w:headerReference w:type="default" r:id="rId11"/>
          <w:footerReference w:type="default" r:id="rId12"/>
          <w:type w:val="continuous"/>
          <w:pgSz w:w="11906" w:h="16838"/>
          <w:pgMar w:top="720" w:right="720" w:bottom="720" w:left="720" w:header="708" w:footer="708" w:gutter="0"/>
          <w:cols w:num="2" w:space="708"/>
          <w:docGrid w:linePitch="360"/>
        </w:sectPr>
      </w:pPr>
    </w:p>
    <w:p w14:paraId="31D53226" w14:textId="77777777" w:rsidR="00881C2D" w:rsidRPr="009C2DF6" w:rsidRDefault="00881C2D" w:rsidP="00881C2D">
      <w:pPr>
        <w:pStyle w:val="SARJNmero"/>
      </w:pPr>
      <w:commentRangeStart w:id="11"/>
      <w:r w:rsidRPr="009C2DF6">
        <w:rPr>
          <w:bCs/>
          <w:lang w:val="es-ES"/>
        </w:rPr>
        <w:t>Tabla 1</w:t>
      </w:r>
      <w:commentRangeEnd w:id="11"/>
      <w:r w:rsidRPr="009C2DF6">
        <w:rPr>
          <w:rStyle w:val="Refdecomentario"/>
          <w:sz w:val="22"/>
          <w:szCs w:val="22"/>
        </w:rPr>
        <w:commentReference w:id="11"/>
      </w:r>
    </w:p>
    <w:p w14:paraId="5AF19BDE" w14:textId="77777777" w:rsidR="00881C2D" w:rsidRDefault="00881C2D" w:rsidP="00881C2D">
      <w:pPr>
        <w:pStyle w:val="SARJLeyenda"/>
      </w:pPr>
      <w:commentRangeStart w:id="12"/>
      <w:r>
        <w:rPr>
          <w:iCs/>
          <w:lang w:val="es-ES"/>
        </w:rPr>
        <w:t>Nombre de la tabla</w:t>
      </w:r>
      <w:commentRangeEnd w:id="12"/>
      <w:r>
        <w:rPr>
          <w:rStyle w:val="Refdecomentario"/>
          <w:sz w:val="22"/>
          <w:szCs w:val="22"/>
        </w:rPr>
        <w:commentReference w:id="12"/>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300"/>
        <w:gridCol w:w="2039"/>
        <w:gridCol w:w="2041"/>
        <w:gridCol w:w="2041"/>
        <w:gridCol w:w="2045"/>
      </w:tblGrid>
      <w:tr w:rsidR="00881C2D" w:rsidRPr="005D370D" w14:paraId="26515C67" w14:textId="77777777" w:rsidTr="000F10A6">
        <w:trPr>
          <w:trHeight w:val="20"/>
        </w:trPr>
        <w:tc>
          <w:tcPr>
            <w:tcW w:w="1099" w:type="pct"/>
            <w:tcBorders>
              <w:bottom w:val="single" w:sz="4" w:space="0" w:color="auto"/>
            </w:tcBorders>
            <w:vAlign w:val="center"/>
            <w:hideMark/>
          </w:tcPr>
          <w:p w14:paraId="01F5791B" w14:textId="77777777" w:rsidR="00881C2D" w:rsidRPr="005D370D" w:rsidRDefault="00881C2D" w:rsidP="000F10A6">
            <w:pPr>
              <w:pStyle w:val="SARJNota"/>
              <w:spacing w:after="40"/>
            </w:pPr>
            <w:r w:rsidRPr="005D370D">
              <w:rPr>
                <w:bCs/>
              </w:rPr>
              <w:t>Variabilis</w:t>
            </w:r>
          </w:p>
        </w:tc>
        <w:tc>
          <w:tcPr>
            <w:tcW w:w="974" w:type="pct"/>
            <w:tcBorders>
              <w:bottom w:val="single" w:sz="4" w:space="0" w:color="auto"/>
            </w:tcBorders>
            <w:vAlign w:val="center"/>
            <w:hideMark/>
          </w:tcPr>
          <w:p w14:paraId="4133B209" w14:textId="77777777" w:rsidR="00881C2D" w:rsidRPr="005D370D" w:rsidRDefault="00881C2D" w:rsidP="000F10A6">
            <w:pPr>
              <w:pStyle w:val="SARJNota"/>
              <w:spacing w:after="40"/>
            </w:pPr>
            <w:r w:rsidRPr="005D370D">
              <w:rPr>
                <w:bCs/>
              </w:rPr>
              <w:t>Regio A (n = 140)</w:t>
            </w:r>
          </w:p>
        </w:tc>
        <w:tc>
          <w:tcPr>
            <w:tcW w:w="975" w:type="pct"/>
            <w:tcBorders>
              <w:bottom w:val="single" w:sz="4" w:space="0" w:color="auto"/>
            </w:tcBorders>
            <w:vAlign w:val="center"/>
            <w:hideMark/>
          </w:tcPr>
          <w:p w14:paraId="7741EA12" w14:textId="77777777" w:rsidR="00881C2D" w:rsidRPr="005D370D" w:rsidRDefault="00881C2D" w:rsidP="000F10A6">
            <w:pPr>
              <w:pStyle w:val="SARJNota"/>
              <w:spacing w:after="40"/>
            </w:pPr>
            <w:r w:rsidRPr="005D370D">
              <w:rPr>
                <w:bCs/>
              </w:rPr>
              <w:t>Regio B (n = 140)</w:t>
            </w:r>
          </w:p>
        </w:tc>
        <w:tc>
          <w:tcPr>
            <w:tcW w:w="975" w:type="pct"/>
            <w:tcBorders>
              <w:bottom w:val="single" w:sz="4" w:space="0" w:color="auto"/>
            </w:tcBorders>
            <w:vAlign w:val="center"/>
            <w:hideMark/>
          </w:tcPr>
          <w:p w14:paraId="36BDAD79" w14:textId="77777777" w:rsidR="00881C2D" w:rsidRPr="005D370D" w:rsidRDefault="00881C2D" w:rsidP="000F10A6">
            <w:pPr>
              <w:pStyle w:val="SARJNota"/>
              <w:spacing w:after="40"/>
            </w:pPr>
            <w:r w:rsidRPr="005D370D">
              <w:rPr>
                <w:bCs/>
              </w:rPr>
              <w:t>Regio C (n = 140)</w:t>
            </w:r>
          </w:p>
        </w:tc>
        <w:tc>
          <w:tcPr>
            <w:tcW w:w="977" w:type="pct"/>
            <w:tcBorders>
              <w:bottom w:val="single" w:sz="4" w:space="0" w:color="auto"/>
            </w:tcBorders>
            <w:vAlign w:val="center"/>
            <w:hideMark/>
          </w:tcPr>
          <w:p w14:paraId="25B4DB64" w14:textId="77777777" w:rsidR="00881C2D" w:rsidRPr="005D370D" w:rsidRDefault="00881C2D" w:rsidP="000F10A6">
            <w:pPr>
              <w:pStyle w:val="SARJNota"/>
              <w:spacing w:after="40"/>
            </w:pPr>
            <w:r w:rsidRPr="005D370D">
              <w:rPr>
                <w:bCs/>
              </w:rPr>
              <w:t>Totum (N = 420)</w:t>
            </w:r>
          </w:p>
        </w:tc>
      </w:tr>
      <w:tr w:rsidR="00881C2D" w:rsidRPr="005D370D" w14:paraId="0D1A7144" w14:textId="77777777" w:rsidTr="000F10A6">
        <w:trPr>
          <w:trHeight w:val="20"/>
        </w:trPr>
        <w:tc>
          <w:tcPr>
            <w:tcW w:w="1099" w:type="pct"/>
            <w:tcBorders>
              <w:top w:val="single" w:sz="4" w:space="0" w:color="auto"/>
              <w:bottom w:val="nil"/>
            </w:tcBorders>
            <w:vAlign w:val="center"/>
            <w:hideMark/>
          </w:tcPr>
          <w:p w14:paraId="1A52A36D" w14:textId="77777777" w:rsidR="00881C2D" w:rsidRPr="005D370D" w:rsidRDefault="00881C2D" w:rsidP="000F10A6">
            <w:pPr>
              <w:pStyle w:val="SARJNota"/>
              <w:spacing w:after="40"/>
            </w:pPr>
            <w:r w:rsidRPr="005D370D">
              <w:t>Educatio superior, n (%)</w:t>
            </w:r>
          </w:p>
        </w:tc>
        <w:tc>
          <w:tcPr>
            <w:tcW w:w="974" w:type="pct"/>
            <w:tcBorders>
              <w:top w:val="single" w:sz="4" w:space="0" w:color="auto"/>
              <w:bottom w:val="nil"/>
            </w:tcBorders>
            <w:vAlign w:val="center"/>
            <w:hideMark/>
          </w:tcPr>
          <w:p w14:paraId="6F54556D" w14:textId="77777777" w:rsidR="00881C2D" w:rsidRPr="005D370D" w:rsidRDefault="00881C2D" w:rsidP="000F10A6">
            <w:pPr>
              <w:pStyle w:val="SARJNota"/>
              <w:spacing w:after="40"/>
            </w:pPr>
            <w:r w:rsidRPr="005D370D">
              <w:t>56 (40,0)</w:t>
            </w:r>
          </w:p>
        </w:tc>
        <w:tc>
          <w:tcPr>
            <w:tcW w:w="975" w:type="pct"/>
            <w:tcBorders>
              <w:top w:val="single" w:sz="4" w:space="0" w:color="auto"/>
              <w:bottom w:val="nil"/>
            </w:tcBorders>
            <w:vAlign w:val="center"/>
            <w:hideMark/>
          </w:tcPr>
          <w:p w14:paraId="115E25B8" w14:textId="77777777" w:rsidR="00881C2D" w:rsidRPr="005D370D" w:rsidRDefault="00881C2D" w:rsidP="000F10A6">
            <w:pPr>
              <w:pStyle w:val="SARJNota"/>
              <w:spacing w:after="40"/>
            </w:pPr>
            <w:r w:rsidRPr="005D370D">
              <w:t>70 (50,0)</w:t>
            </w:r>
          </w:p>
        </w:tc>
        <w:tc>
          <w:tcPr>
            <w:tcW w:w="975" w:type="pct"/>
            <w:tcBorders>
              <w:top w:val="single" w:sz="4" w:space="0" w:color="auto"/>
              <w:bottom w:val="nil"/>
            </w:tcBorders>
            <w:vAlign w:val="center"/>
            <w:hideMark/>
          </w:tcPr>
          <w:p w14:paraId="63D9C5B4" w14:textId="77777777" w:rsidR="00881C2D" w:rsidRPr="005D370D" w:rsidRDefault="00881C2D" w:rsidP="000F10A6">
            <w:pPr>
              <w:pStyle w:val="SARJNota"/>
              <w:spacing w:after="40"/>
            </w:pPr>
            <w:r w:rsidRPr="005D370D">
              <w:t>42 (30,0)</w:t>
            </w:r>
          </w:p>
        </w:tc>
        <w:tc>
          <w:tcPr>
            <w:tcW w:w="977" w:type="pct"/>
            <w:tcBorders>
              <w:top w:val="single" w:sz="4" w:space="0" w:color="auto"/>
              <w:bottom w:val="nil"/>
            </w:tcBorders>
            <w:vAlign w:val="center"/>
            <w:hideMark/>
          </w:tcPr>
          <w:p w14:paraId="34827DA2" w14:textId="77777777" w:rsidR="00881C2D" w:rsidRPr="005D370D" w:rsidRDefault="00881C2D" w:rsidP="000F10A6">
            <w:pPr>
              <w:pStyle w:val="SARJNota"/>
              <w:spacing w:after="40"/>
            </w:pPr>
            <w:r w:rsidRPr="005D370D">
              <w:t>168 (40,0)</w:t>
            </w:r>
          </w:p>
        </w:tc>
      </w:tr>
      <w:tr w:rsidR="00881C2D" w:rsidRPr="005D370D" w14:paraId="385F6BF6" w14:textId="77777777" w:rsidTr="000F10A6">
        <w:trPr>
          <w:trHeight w:val="20"/>
        </w:trPr>
        <w:tc>
          <w:tcPr>
            <w:tcW w:w="1099" w:type="pct"/>
            <w:tcBorders>
              <w:top w:val="nil"/>
            </w:tcBorders>
            <w:vAlign w:val="center"/>
            <w:hideMark/>
          </w:tcPr>
          <w:p w14:paraId="4A780722" w14:textId="77777777" w:rsidR="00881C2D" w:rsidRPr="005D370D" w:rsidRDefault="00881C2D" w:rsidP="000F10A6">
            <w:pPr>
              <w:pStyle w:val="SARJNota"/>
              <w:spacing w:after="40"/>
            </w:pPr>
            <w:r w:rsidRPr="005D370D">
              <w:t>Labor stabilis, n (%)</w:t>
            </w:r>
          </w:p>
        </w:tc>
        <w:tc>
          <w:tcPr>
            <w:tcW w:w="974" w:type="pct"/>
            <w:tcBorders>
              <w:top w:val="nil"/>
            </w:tcBorders>
            <w:vAlign w:val="center"/>
            <w:hideMark/>
          </w:tcPr>
          <w:p w14:paraId="79B67D7D" w14:textId="77777777" w:rsidR="00881C2D" w:rsidRPr="005D370D" w:rsidRDefault="00881C2D" w:rsidP="000F10A6">
            <w:pPr>
              <w:pStyle w:val="SARJNota"/>
              <w:spacing w:after="40"/>
            </w:pPr>
            <w:r w:rsidRPr="005D370D">
              <w:t>70 (50,0)</w:t>
            </w:r>
          </w:p>
        </w:tc>
        <w:tc>
          <w:tcPr>
            <w:tcW w:w="975" w:type="pct"/>
            <w:tcBorders>
              <w:top w:val="nil"/>
            </w:tcBorders>
            <w:vAlign w:val="center"/>
            <w:hideMark/>
          </w:tcPr>
          <w:p w14:paraId="68F911F4" w14:textId="77777777" w:rsidR="00881C2D" w:rsidRPr="005D370D" w:rsidRDefault="00881C2D" w:rsidP="000F10A6">
            <w:pPr>
              <w:pStyle w:val="SARJNota"/>
              <w:spacing w:after="40"/>
            </w:pPr>
            <w:r w:rsidRPr="005D370D">
              <w:t>84 (60,0)</w:t>
            </w:r>
          </w:p>
        </w:tc>
        <w:tc>
          <w:tcPr>
            <w:tcW w:w="975" w:type="pct"/>
            <w:tcBorders>
              <w:top w:val="nil"/>
            </w:tcBorders>
            <w:vAlign w:val="center"/>
            <w:hideMark/>
          </w:tcPr>
          <w:p w14:paraId="3632AD0F" w14:textId="77777777" w:rsidR="00881C2D" w:rsidRPr="005D370D" w:rsidRDefault="00881C2D" w:rsidP="000F10A6">
            <w:pPr>
              <w:pStyle w:val="SARJNota"/>
              <w:spacing w:after="40"/>
            </w:pPr>
            <w:r w:rsidRPr="005D370D">
              <w:t>56 (40,0)</w:t>
            </w:r>
          </w:p>
        </w:tc>
        <w:tc>
          <w:tcPr>
            <w:tcW w:w="977" w:type="pct"/>
            <w:tcBorders>
              <w:top w:val="nil"/>
            </w:tcBorders>
            <w:vAlign w:val="center"/>
            <w:hideMark/>
          </w:tcPr>
          <w:p w14:paraId="5125F61C" w14:textId="77777777" w:rsidR="00881C2D" w:rsidRPr="005D370D" w:rsidRDefault="00881C2D" w:rsidP="000F10A6">
            <w:pPr>
              <w:pStyle w:val="SARJNota"/>
              <w:spacing w:after="40"/>
            </w:pPr>
            <w:r w:rsidRPr="005D370D">
              <w:t>210 (50,0)</w:t>
            </w:r>
          </w:p>
        </w:tc>
      </w:tr>
      <w:tr w:rsidR="00881C2D" w:rsidRPr="005D370D" w14:paraId="2AF1568E" w14:textId="77777777" w:rsidTr="000F10A6">
        <w:trPr>
          <w:trHeight w:val="20"/>
        </w:trPr>
        <w:tc>
          <w:tcPr>
            <w:tcW w:w="1099" w:type="pct"/>
            <w:vAlign w:val="center"/>
            <w:hideMark/>
          </w:tcPr>
          <w:p w14:paraId="3FBD8366" w14:textId="77777777" w:rsidR="00881C2D" w:rsidRPr="005D370D" w:rsidRDefault="00881C2D" w:rsidP="000F10A6">
            <w:pPr>
              <w:pStyle w:val="SARJNota"/>
              <w:spacing w:after="40"/>
            </w:pPr>
            <w:r w:rsidRPr="005D370D">
              <w:t>Participatio communitaria, n (%)</w:t>
            </w:r>
          </w:p>
        </w:tc>
        <w:tc>
          <w:tcPr>
            <w:tcW w:w="974" w:type="pct"/>
            <w:vAlign w:val="center"/>
            <w:hideMark/>
          </w:tcPr>
          <w:p w14:paraId="6466C162" w14:textId="77777777" w:rsidR="00881C2D" w:rsidRPr="005D370D" w:rsidRDefault="00881C2D" w:rsidP="000F10A6">
            <w:pPr>
              <w:pStyle w:val="SARJNota"/>
              <w:spacing w:after="40"/>
            </w:pPr>
            <w:r w:rsidRPr="005D370D">
              <w:t>77 (55,0)</w:t>
            </w:r>
          </w:p>
        </w:tc>
        <w:tc>
          <w:tcPr>
            <w:tcW w:w="975" w:type="pct"/>
            <w:vAlign w:val="center"/>
            <w:hideMark/>
          </w:tcPr>
          <w:p w14:paraId="5515CAEE" w14:textId="77777777" w:rsidR="00881C2D" w:rsidRPr="005D370D" w:rsidRDefault="00881C2D" w:rsidP="000F10A6">
            <w:pPr>
              <w:pStyle w:val="SARJNota"/>
              <w:spacing w:after="40"/>
            </w:pPr>
            <w:r w:rsidRPr="005D370D">
              <w:t>91 (65,0)</w:t>
            </w:r>
          </w:p>
        </w:tc>
        <w:tc>
          <w:tcPr>
            <w:tcW w:w="975" w:type="pct"/>
            <w:vAlign w:val="center"/>
            <w:hideMark/>
          </w:tcPr>
          <w:p w14:paraId="4016EFBE" w14:textId="77777777" w:rsidR="00881C2D" w:rsidRPr="005D370D" w:rsidRDefault="00881C2D" w:rsidP="000F10A6">
            <w:pPr>
              <w:pStyle w:val="SARJNota"/>
              <w:spacing w:after="40"/>
            </w:pPr>
            <w:r w:rsidRPr="005D370D">
              <w:t>63 (45,0)</w:t>
            </w:r>
          </w:p>
        </w:tc>
        <w:tc>
          <w:tcPr>
            <w:tcW w:w="977" w:type="pct"/>
            <w:vAlign w:val="center"/>
            <w:hideMark/>
          </w:tcPr>
          <w:p w14:paraId="4AF81959" w14:textId="77777777" w:rsidR="00881C2D" w:rsidRPr="005D370D" w:rsidRDefault="00881C2D" w:rsidP="000F10A6">
            <w:pPr>
              <w:pStyle w:val="SARJNota"/>
              <w:spacing w:after="40"/>
            </w:pPr>
            <w:r w:rsidRPr="005D370D">
              <w:t>231 (55,0)</w:t>
            </w:r>
          </w:p>
        </w:tc>
      </w:tr>
    </w:tbl>
    <w:p w14:paraId="07925CA8" w14:textId="77777777" w:rsidR="009C5E6E" w:rsidRPr="009C5E6E" w:rsidRDefault="009C5E6E" w:rsidP="00F0508A">
      <w:pPr>
        <w:pStyle w:val="SARJNota"/>
        <w:spacing w:after="0"/>
      </w:pPr>
      <w:commentRangeStart w:id="13"/>
      <w:r w:rsidRPr="009C5E6E">
        <w:rPr>
          <w:iCs/>
          <w:lang w:eastAsia="es-EC"/>
        </w:rPr>
        <w:t>Nota.</w:t>
      </w:r>
      <w:r>
        <w:rPr>
          <w:bCs/>
          <w:lang w:eastAsia="es-EC"/>
        </w:rPr>
        <w:t xml:space="preserve"> </w:t>
      </w:r>
      <w:r w:rsidR="00DF4C1B" w:rsidRPr="00DF4C1B">
        <w:rPr>
          <w:lang w:eastAsia="es-EC"/>
        </w:rPr>
        <w:t>Participatio communitaria significat participationem in saltem una actione collectiva per sex menses antecedentes</w:t>
      </w:r>
      <w:r>
        <w:rPr>
          <w:lang w:eastAsia="es-EC"/>
        </w:rPr>
        <w:t xml:space="preserve">. </w:t>
      </w:r>
      <w:commentRangeEnd w:id="13"/>
      <w:r w:rsidRPr="009C5E6E">
        <w:rPr>
          <w:rStyle w:val="Refdecomentario"/>
          <w:sz w:val="20"/>
          <w:szCs w:val="22"/>
        </w:rPr>
        <w:commentReference w:id="13"/>
      </w:r>
    </w:p>
    <w:p w14:paraId="14F94F0F" w14:textId="0F23E243" w:rsidR="00B86B02" w:rsidRDefault="00646DC1" w:rsidP="005C55EF">
      <w:pPr>
        <w:pStyle w:val="SARJNota"/>
        <w:sectPr w:rsidR="00B86B02" w:rsidSect="00B34403">
          <w:type w:val="continuous"/>
          <w:pgSz w:w="11906" w:h="16838"/>
          <w:pgMar w:top="720" w:right="720" w:bottom="720" w:left="720" w:header="708" w:footer="708" w:gutter="0"/>
          <w:cols w:space="708"/>
          <w:docGrid w:linePitch="360"/>
        </w:sectPr>
      </w:pPr>
      <w:commentRangeStart w:id="14"/>
      <w:r w:rsidRPr="00CB0045">
        <w:rPr>
          <w:bCs/>
          <w:lang w:eastAsia="es-EC"/>
        </w:rPr>
        <w:t xml:space="preserve">Fuente: </w:t>
      </w:r>
      <w:r w:rsidR="00B569FA">
        <w:rPr>
          <w:bCs/>
          <w:lang w:eastAsia="es-EC"/>
        </w:rPr>
        <w:t>Sen (1999)</w:t>
      </w:r>
      <w:r w:rsidRPr="00CB0045">
        <w:rPr>
          <w:bCs/>
          <w:lang w:eastAsia="es-EC"/>
        </w:rPr>
        <w:t>. Datos ficticios utilizados únicamente como ejemplo de formato.</w:t>
      </w:r>
      <w:commentRangeEnd w:id="14"/>
      <w:r>
        <w:rPr>
          <w:rStyle w:val="Refdecomentario"/>
          <w:sz w:val="20"/>
          <w:szCs w:val="22"/>
        </w:rPr>
        <w:commentReference w:id="14"/>
      </w:r>
    </w:p>
    <w:p w14:paraId="3B5AA480" w14:textId="77777777" w:rsidR="00B34403" w:rsidRDefault="00B34403" w:rsidP="005C55EF">
      <w:pPr>
        <w:rPr>
          <w:rFonts w:cs="Times New Roman"/>
          <w:sz w:val="20"/>
          <w:szCs w:val="20"/>
          <w:lang w:eastAsia="es-EC"/>
        </w:rPr>
        <w:sectPr w:rsidR="00B34403" w:rsidSect="00B34403">
          <w:type w:val="continuous"/>
          <w:pgSz w:w="11906" w:h="16838"/>
          <w:pgMar w:top="720" w:right="720" w:bottom="720" w:left="720" w:header="708" w:footer="708" w:gutter="0"/>
          <w:cols w:num="2" w:space="708"/>
          <w:docGrid w:linePitch="360"/>
        </w:sectPr>
      </w:pPr>
    </w:p>
    <w:p w14:paraId="1F65A93B" w14:textId="77777777" w:rsidR="00DF4C1B" w:rsidRDefault="00DF4C1B" w:rsidP="00DF4C1B">
      <w:pPr>
        <w:pStyle w:val="SARJPrrafo"/>
      </w:pPr>
      <w:r w:rsidRPr="00DF4C1B">
        <w:rPr>
          <w:lang w:val="es-ES"/>
        </w:rPr>
        <w:t xml:space="preserve">Participatio communitaria in universo exemplo 55,0% attigit. </w:t>
      </w:r>
      <w:r w:rsidRPr="00A055B6">
        <w:rPr>
          <w:lang w:val="es-ES"/>
        </w:rPr>
        <w:t xml:space="preserve">In Regione B proportio fuit 65,0%, comparata cum 55,0% in Regione A et 45,0% in Regione C. Differentia inter regiones B et C viginti punctorum percentualium fuit. </w:t>
      </w:r>
      <w:r w:rsidRPr="00DF4C1B">
        <w:rPr>
          <w:lang w:val="es-ES"/>
        </w:rPr>
        <w:t>Figura 1 has proportiones illustrat.</w:t>
      </w:r>
    </w:p>
    <w:p w14:paraId="1A19F109" w14:textId="77777777" w:rsidR="00DF4C1B" w:rsidRPr="00CB0045" w:rsidRDefault="00DF4C1B" w:rsidP="00756303">
      <w:pPr>
        <w:pStyle w:val="SARJNmero"/>
        <w:spacing w:before="240"/>
      </w:pPr>
      <w:commentRangeStart w:id="15"/>
      <w:r w:rsidRPr="00CB0045">
        <w:rPr>
          <w:bCs/>
          <w:lang w:val="es-ES"/>
        </w:rPr>
        <w:t xml:space="preserve">Figura 1 </w:t>
      </w:r>
      <w:commentRangeEnd w:id="15"/>
      <w:r w:rsidRPr="00CB0045">
        <w:rPr>
          <w:rStyle w:val="Refdecomentario"/>
          <w:sz w:val="22"/>
          <w:szCs w:val="22"/>
        </w:rPr>
        <w:commentReference w:id="15"/>
      </w:r>
    </w:p>
    <w:p w14:paraId="7040AD60" w14:textId="77777777" w:rsidR="00DF4C1B" w:rsidRPr="009C2DF6" w:rsidRDefault="00DF4C1B" w:rsidP="00DF4C1B">
      <w:pPr>
        <w:pStyle w:val="SARJLeyenda"/>
      </w:pPr>
      <w:commentRangeStart w:id="16"/>
      <w:r>
        <w:rPr>
          <w:iCs/>
          <w:lang w:val="es-ES"/>
        </w:rPr>
        <w:t>Nombre de la figura</w:t>
      </w:r>
      <w:commentRangeEnd w:id="16"/>
      <w:r w:rsidRPr="009C2DF6">
        <w:rPr>
          <w:rStyle w:val="Refdecomentario"/>
          <w:sz w:val="22"/>
          <w:szCs w:val="22"/>
        </w:rPr>
        <w:commentReference w:id="16"/>
      </w:r>
    </w:p>
    <w:p w14:paraId="7C48242C" w14:textId="77777777" w:rsidR="00DF4C1B" w:rsidRPr="009C2DF6" w:rsidRDefault="00DF4C1B" w:rsidP="00DF4C1B">
      <w:pPr>
        <w:pStyle w:val="paragraph"/>
        <w:keepNext/>
        <w:spacing w:before="0" w:beforeAutospacing="0" w:after="0" w:afterAutospacing="0"/>
        <w:jc w:val="center"/>
        <w:textAlignment w:val="baseline"/>
        <w:rPr>
          <w:rStyle w:val="eop"/>
        </w:rPr>
      </w:pPr>
      <w:r>
        <w:rPr>
          <w:noProof/>
        </w:rPr>
        <w:drawing>
          <wp:inline distT="0" distB="0" distL="0" distR="0" wp14:anchorId="709E9F8F" wp14:editId="5DEF646B">
            <wp:extent cx="3098165" cy="1936115"/>
            <wp:effectExtent l="0" t="0" r="6985" b="6985"/>
            <wp:docPr id="56003086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30862" name="Imagen 5600308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98165" cy="1936115"/>
                    </a:xfrm>
                    <a:prstGeom prst="rect">
                      <a:avLst/>
                    </a:prstGeom>
                  </pic:spPr>
                </pic:pic>
              </a:graphicData>
            </a:graphic>
          </wp:inline>
        </w:drawing>
      </w:r>
    </w:p>
    <w:p w14:paraId="76A0A630" w14:textId="329155FB" w:rsidR="00DF4C1B" w:rsidRPr="00CB0045" w:rsidRDefault="00DF4C1B" w:rsidP="00DF4C1B">
      <w:pPr>
        <w:pStyle w:val="SARJNota"/>
      </w:pPr>
      <w:commentRangeStart w:id="17"/>
      <w:r w:rsidRPr="00CB0045">
        <w:rPr>
          <w:bCs/>
          <w:lang w:eastAsia="es-EC"/>
        </w:rPr>
        <w:t xml:space="preserve">Fuente: </w:t>
      </w:r>
      <w:r w:rsidR="00756303">
        <w:rPr>
          <w:bCs/>
          <w:lang w:eastAsia="es-EC"/>
        </w:rPr>
        <w:t>Sen (1999)</w:t>
      </w:r>
      <w:r w:rsidRPr="00CB0045">
        <w:rPr>
          <w:bCs/>
          <w:lang w:eastAsia="es-EC"/>
        </w:rPr>
        <w:t>. Datos ficticios utilizados únicamente como ejemplo de formato.</w:t>
      </w:r>
      <w:commentRangeEnd w:id="17"/>
      <w:r w:rsidRPr="00CB0045">
        <w:rPr>
          <w:rStyle w:val="Refdecomentario"/>
          <w:sz w:val="20"/>
          <w:szCs w:val="22"/>
        </w:rPr>
        <w:commentReference w:id="17"/>
      </w:r>
    </w:p>
    <w:p w14:paraId="0C148989" w14:textId="77777777" w:rsidR="00DF4C1B" w:rsidRPr="00A055B6" w:rsidRDefault="00DF4C1B" w:rsidP="00B34403">
      <w:pPr>
        <w:pStyle w:val="SARJPrrafo"/>
        <w:rPr>
          <w:lang w:val="en-US"/>
        </w:rPr>
      </w:pPr>
      <w:r w:rsidRPr="00DF4C1B">
        <w:rPr>
          <w:lang w:val="en-US"/>
        </w:rPr>
        <w:t xml:space="preserve">Analysis colloquiorum tria themata principalia identificavit: educationem tamquam </w:t>
      </w:r>
      <w:r w:rsidRPr="00DF4C1B">
        <w:rPr>
          <w:lang w:val="en-US"/>
        </w:rPr>
        <w:t>opportunitatem progressionis, stabilitatem laboris tamquam fundamentum securitatis cotidianae et cooperationem localem tamquam auxilium adversus difficultates communes. Participantes rurales praecipue auxilium inter vicinos descripserunt. Participantes urbani saepius difficultatem conciliandi tempora laboris cum actionibus communitariis commemoraverunt.</w:t>
      </w:r>
    </w:p>
    <w:p w14:paraId="0AECF742" w14:textId="77777777" w:rsidR="00DF4C1B" w:rsidRPr="00A055B6" w:rsidRDefault="00DF4C1B" w:rsidP="00B34403">
      <w:pPr>
        <w:pStyle w:val="SARJPrrafo"/>
        <w:rPr>
          <w:lang w:val="en-US"/>
        </w:rPr>
      </w:pPr>
      <w:r w:rsidRPr="00DF4C1B">
        <w:rPr>
          <w:lang w:val="en-US"/>
        </w:rPr>
        <w:t xml:space="preserve">Comparatio informationum quantitativarum et qualitativarum ostendit participationem cum opportunitatibus materialibus et relationibus localibus coniungi. </w:t>
      </w:r>
      <w:r w:rsidRPr="00B34403">
        <w:rPr>
          <w:lang w:val="en-US"/>
        </w:rPr>
        <w:t>Attamen hae observationes descriptivae relationes causales inter educationem, laborem et participationem non demonstrant</w:t>
      </w:r>
    </w:p>
    <w:p w14:paraId="3FD65214" w14:textId="77777777" w:rsidR="00DF4C1B" w:rsidRPr="00A055B6" w:rsidRDefault="00DF4C1B" w:rsidP="00DF4C1B">
      <w:pPr>
        <w:pStyle w:val="SARJSeccin"/>
        <w:rPr>
          <w:lang w:val="en-US"/>
        </w:rPr>
      </w:pPr>
      <w:commentRangeStart w:id="18"/>
      <w:r w:rsidRPr="00A055B6">
        <w:rPr>
          <w:bCs/>
          <w:lang w:val="en-US"/>
        </w:rPr>
        <w:t>DISCUSIÓN</w:t>
      </w:r>
      <w:commentRangeEnd w:id="18"/>
      <w:r w:rsidRPr="00A055B6">
        <w:rPr>
          <w:rStyle w:val="Refdecomentario"/>
          <w:sz w:val="28"/>
          <w:szCs w:val="22"/>
          <w:lang w:val="en-US"/>
        </w:rPr>
        <w:commentReference w:id="18"/>
      </w:r>
    </w:p>
    <w:p w14:paraId="1C179E76" w14:textId="77777777" w:rsidR="00DF4C1B" w:rsidRPr="00B34403" w:rsidRDefault="00DF4C1B" w:rsidP="00B34403">
      <w:pPr>
        <w:pStyle w:val="SARJPrimerprrafo"/>
      </w:pPr>
      <w:r w:rsidRPr="00DF4C1B">
        <w:rPr>
          <w:lang w:val="en-US"/>
        </w:rPr>
        <w:t xml:space="preserve">Eventus huius investigationis suggerunt educationem, stabilitatem laboris et participationem communitariam inter se coniungi, quamquam natura harum relationum secundum contextum territorialem variatur. </w:t>
      </w:r>
      <w:r w:rsidRPr="00A055B6">
        <w:rPr>
          <w:lang w:val="es-ES"/>
        </w:rPr>
        <w:t xml:space="preserve">Regio B maiores proportiones in tribus indicibus exhibuit, dum Regio C inferiores valores praesentavit. Haec distributio indicare potest condiciones materiales et opportunitates </w:t>
      </w:r>
      <w:r w:rsidRPr="00A055B6">
        <w:rPr>
          <w:lang w:val="es-ES"/>
        </w:rPr>
        <w:lastRenderedPageBreak/>
        <w:t>institutionales participationi favere. Attamen comparatio proportionum regionalium non sufficit ad affirmandum singulos homines maiore educatione vel labore stabili frequentius participare.</w:t>
      </w:r>
    </w:p>
    <w:p w14:paraId="5126DC7F" w14:textId="77777777" w:rsidR="00DF4C1B" w:rsidRPr="00A055B6" w:rsidRDefault="00DF4C1B" w:rsidP="00B34403">
      <w:pPr>
        <w:pStyle w:val="SARJPrrafo"/>
        <w:rPr>
          <w:lang w:val="en-US"/>
        </w:rPr>
      </w:pPr>
      <w:r w:rsidRPr="00A055B6">
        <w:t xml:space="preserve">Narrationes participantium interpretationem horum eventuum ampliant. Educatio tamquam via progressionis personalis et accessus ad novas opportunitates descripta est. Eius utilitas tamen a disponibilitate occupationum et a facultate cognitiones acquisitas in vita cotidiana adhibendi pendere videbatur. </w:t>
      </w:r>
      <w:r w:rsidRPr="00B34403">
        <w:rPr>
          <w:lang w:val="en-US"/>
        </w:rPr>
        <w:t>Hoc suggerit incrementum educationis per se omnes difficultates sociales non solvere, praesertim cum condiciones laboris incertae permanent.</w:t>
      </w:r>
    </w:p>
    <w:p w14:paraId="5AE5E6DA" w14:textId="77777777" w:rsidR="00DF4C1B" w:rsidRPr="00A055B6" w:rsidRDefault="00DF4C1B" w:rsidP="00B34403">
      <w:pPr>
        <w:pStyle w:val="SARJPrrafo"/>
        <w:rPr>
          <w:lang w:val="en-US"/>
        </w:rPr>
      </w:pPr>
      <w:r w:rsidRPr="00B34403">
        <w:rPr>
          <w:lang w:val="en-US"/>
        </w:rPr>
        <w:t>Stabilitas laboris securitatem oeconomicam praebere potest atque consilia diuturna facilius reddere. Simul, colloquia ostenderunt obligationes professionales tempus ad actiones communitarias destinatum restringere posse. Relatio inter laborem et participationem igitur duplex esse videtur. Opes ex labore provenientes participationem sustinere possunt, sed longae horae laboris et onera cotidiana eam impedire possunt. Futurae investigationes has condiciones distinctius examinare debent.</w:t>
      </w:r>
    </w:p>
    <w:p w14:paraId="40D6168E" w14:textId="77777777" w:rsidR="00DF4C1B" w:rsidRPr="00A055B6" w:rsidRDefault="00DF4C1B" w:rsidP="00B34403">
      <w:pPr>
        <w:pStyle w:val="SARJPrrafo"/>
        <w:rPr>
          <w:lang w:val="en-US"/>
        </w:rPr>
      </w:pPr>
      <w:r w:rsidRPr="00B34403">
        <w:rPr>
          <w:lang w:val="en-US"/>
        </w:rPr>
        <w:t>Differentiae inter communitates rurales et urbanas momentum relationum localium illustrant. In locis ruralibus, auxilium inter vicinos et vincula familiarum praecipuas formas cooperationis constituebant. In urbibus, participantes difficultates temporis et coordinationis saepius commemoraverunt. Haec observatio monet participationem communitariam variis modis exprimi posse. Mensura participationis in actionibus formalibus formas auxilii informalis et cooperationis cotidianae partim praeterire potest.</w:t>
      </w:r>
    </w:p>
    <w:p w14:paraId="702C2BDC" w14:textId="77777777" w:rsidR="00DF4C1B" w:rsidRPr="00A055B6" w:rsidRDefault="00DF4C1B" w:rsidP="00B34403">
      <w:pPr>
        <w:pStyle w:val="SARJPrrafo"/>
        <w:rPr>
          <w:lang w:val="en-US"/>
        </w:rPr>
      </w:pPr>
      <w:r w:rsidRPr="00B34403">
        <w:rPr>
          <w:lang w:val="en-US"/>
        </w:rPr>
        <w:t>Interpretatio eventuum quibusdam limitationibus circumscribitur. Selectio secundum quotas generalizationem ad universam populationem restringit. Consilium transversale ordinem temporalem relationum determinare non permittit, et responsiones participantium memoria atque desiderio imaginem socialiter probatam praebendi affici possunt. Praeterea tres regiones universam diversitatem Americae Australis non repraesentant. Differentiae observatae igitur intra contextus investigatos intellegendae sunt.</w:t>
      </w:r>
    </w:p>
    <w:p w14:paraId="699B94CD" w14:textId="77777777" w:rsidR="00DF4C1B" w:rsidRPr="00A055B6" w:rsidRDefault="00DF4C1B" w:rsidP="00B34403">
      <w:pPr>
        <w:pStyle w:val="SARJPrrafo"/>
        <w:rPr>
          <w:lang w:val="en-US"/>
        </w:rPr>
      </w:pPr>
      <w:r w:rsidRPr="00B34403">
        <w:rPr>
          <w:lang w:val="en-US"/>
        </w:rPr>
        <w:t xml:space="preserve">His limitibus consideratis, investigatio utilitatem coniungendi informationes quantitativas cum narrationibus participantium demonstrat. </w:t>
      </w:r>
      <w:r w:rsidRPr="00A055B6">
        <w:rPr>
          <w:lang w:val="es-ES"/>
        </w:rPr>
        <w:t xml:space="preserve">Proportiones regionales variationes describunt, dum colloquia condiciones cotidianas ad eas interpretandas praebent. </w:t>
      </w:r>
      <w:r w:rsidRPr="00B34403">
        <w:rPr>
          <w:lang w:val="en-US"/>
        </w:rPr>
        <w:t xml:space="preserve">Consilia localia accessum ad </w:t>
      </w:r>
      <w:r w:rsidRPr="00B34403">
        <w:rPr>
          <w:lang w:val="en-US"/>
        </w:rPr>
        <w:t>educationem, condiciones laboris et opportunitates participationis simul considerare possunt. Studia longitudinalia et exempla probabilistica adhibenda erunt ad directionem relationum explorandam et firmitatem horum</w:t>
      </w:r>
      <w:r w:rsidRPr="00A055B6">
        <w:rPr>
          <w:lang w:val="en-US"/>
        </w:rPr>
        <w:t xml:space="preserve"> eventuum aestimandam.</w:t>
      </w:r>
    </w:p>
    <w:p w14:paraId="10A85C4F" w14:textId="77777777" w:rsidR="00DF4C1B" w:rsidRPr="00A055B6" w:rsidRDefault="00DF4C1B" w:rsidP="00DF4C1B">
      <w:pPr>
        <w:pStyle w:val="SARJSeccin"/>
        <w:rPr>
          <w:lang w:val="en-US"/>
        </w:rPr>
      </w:pPr>
      <w:commentRangeStart w:id="19"/>
      <w:r w:rsidRPr="00A055B6">
        <w:rPr>
          <w:bCs/>
          <w:lang w:val="en-US"/>
        </w:rPr>
        <w:t>CONCLUSIONES</w:t>
      </w:r>
      <w:commentRangeEnd w:id="19"/>
      <w:r w:rsidRPr="00A055B6">
        <w:rPr>
          <w:rStyle w:val="Refdecomentario"/>
          <w:sz w:val="28"/>
          <w:szCs w:val="22"/>
          <w:lang w:val="en-US"/>
        </w:rPr>
        <w:commentReference w:id="19"/>
      </w:r>
    </w:p>
    <w:p w14:paraId="25EA0264" w14:textId="77777777" w:rsidR="00B34403" w:rsidRPr="00A055B6" w:rsidRDefault="00DF4C1B" w:rsidP="00B34403">
      <w:pPr>
        <w:pStyle w:val="SARJPrimerprrafo"/>
        <w:rPr>
          <w:lang w:val="en-US"/>
        </w:rPr>
      </w:pPr>
      <w:r w:rsidRPr="00B34403">
        <w:rPr>
          <w:lang w:val="en-US"/>
        </w:rPr>
        <w:t>Investigatio ostendit educationem, stabilitatem laboris et participationem communitariam dimensiones pertinentes esse ad condiciones sociales in regionibus examinatis intellegendas. Differentiae observatae momentum contextuum territorialium suggerunt, dum narrationes participantium ostendunt opportunitates materiales, tempus disponibile et vincula localia participationem fovere vel restringere posse. Hi eventus relationes causales non demonstrant, sed fundamentum praebent ad quaestiones futuras definiendas.</w:t>
      </w:r>
    </w:p>
    <w:p w14:paraId="1D6A78F1" w14:textId="77777777" w:rsidR="00DF4C1B" w:rsidRPr="00A055B6" w:rsidRDefault="00DF4C1B" w:rsidP="00B34403">
      <w:pPr>
        <w:pStyle w:val="SARJPrrafo"/>
        <w:rPr>
          <w:lang w:val="en-US"/>
        </w:rPr>
      </w:pPr>
      <w:r w:rsidRPr="00B34403">
        <w:rPr>
          <w:lang w:val="en-US"/>
        </w:rPr>
        <w:t>Consilia publica educationem et laborem cum necessitatibus communitatum coniungere debent, consideratis peculiaritatibus locorum urbanorum atque ruralium. Cooperatio inter institutiones et cives opportunitates participationis ampliare potest. Futurae investigationes exempla probabilistica et consilia longitudinalia adhibere poterunt, ut relationes observatae accuratius examinentur et mutationes per tempus comprehendantur.</w:t>
      </w:r>
    </w:p>
    <w:p w14:paraId="18AE7B63" w14:textId="77777777" w:rsidR="00B34403" w:rsidRPr="00756303" w:rsidRDefault="00B34403" w:rsidP="00B34403">
      <w:pPr>
        <w:pStyle w:val="SARJSubttulo"/>
        <w:rPr>
          <w:sz w:val="24"/>
          <w:szCs w:val="20"/>
        </w:rPr>
      </w:pPr>
      <w:commentRangeStart w:id="20"/>
      <w:r w:rsidRPr="00756303">
        <w:rPr>
          <w:bCs/>
          <w:sz w:val="24"/>
          <w:szCs w:val="20"/>
          <w:lang w:eastAsia="es-EC"/>
        </w:rPr>
        <w:t>Uso de inteligencia artificial</w:t>
      </w:r>
      <w:commentRangeEnd w:id="20"/>
      <w:r w:rsidRPr="00756303">
        <w:rPr>
          <w:rStyle w:val="Refdecomentario"/>
          <w:sz w:val="24"/>
          <w:szCs w:val="20"/>
        </w:rPr>
        <w:commentReference w:id="20"/>
      </w:r>
    </w:p>
    <w:p w14:paraId="78C04387" w14:textId="77777777" w:rsidR="00B34403" w:rsidRPr="00B34403" w:rsidRDefault="00B34403" w:rsidP="00B34403">
      <w:pPr>
        <w:pStyle w:val="SARJPrimerprrafo"/>
      </w:pPr>
      <w:r w:rsidRPr="00B34403">
        <w:rPr>
          <w:lang w:val="es-ES"/>
        </w:rPr>
        <w:t>Indique si utilizó herramientas de inteligencia artificial, cuáles y para qué tareas. Ejemplo: «Se utilizó [</w:t>
      </w:r>
      <w:r w:rsidRPr="00A055B6">
        <w:rPr>
          <w:lang w:val="es-ES"/>
        </w:rPr>
        <w:t>herramienta</w:t>
      </w:r>
      <w:r w:rsidRPr="00B34403">
        <w:rPr>
          <w:lang w:val="es-ES"/>
        </w:rPr>
        <w:t>] para revisar la redacción. Los autores verificaron el contenido y asumen la responsabilidad por la versión final». Si no las utilizó, señálelo.</w:t>
      </w:r>
    </w:p>
    <w:p w14:paraId="02EB8596" w14:textId="77777777" w:rsidR="00B34403" w:rsidRPr="00756303" w:rsidRDefault="00B34403" w:rsidP="00B34403">
      <w:pPr>
        <w:pStyle w:val="SARJSubttulo"/>
        <w:rPr>
          <w:sz w:val="24"/>
          <w:szCs w:val="20"/>
        </w:rPr>
      </w:pPr>
      <w:r w:rsidRPr="00756303">
        <w:rPr>
          <w:bCs/>
          <w:sz w:val="24"/>
          <w:szCs w:val="20"/>
          <w:lang w:eastAsia="es-EC"/>
        </w:rPr>
        <w:t>Financiamiento</w:t>
      </w:r>
    </w:p>
    <w:p w14:paraId="20708291" w14:textId="77777777" w:rsidR="00B34403" w:rsidRPr="00B34403" w:rsidRDefault="00B34403" w:rsidP="00B34403">
      <w:pPr>
        <w:pStyle w:val="SARJPrimerprrafo"/>
      </w:pPr>
      <w:r w:rsidRPr="00B34403">
        <w:rPr>
          <w:lang w:val="es-ES"/>
        </w:rPr>
        <w:t xml:space="preserve">Identifique la institución que financió el estudio y el código del proyecto, si corresponde. Si no recibió financiamiento </w:t>
      </w:r>
      <w:r w:rsidRPr="00A055B6">
        <w:rPr>
          <w:lang w:val="es-ES"/>
        </w:rPr>
        <w:t>específico</w:t>
      </w:r>
      <w:r w:rsidRPr="00B34403">
        <w:rPr>
          <w:lang w:val="es-ES"/>
        </w:rPr>
        <w:t>, escriba: «Esta investigación no recibió financiamiento específico de entidades públicas, comerciales o sin fines de lucro».</w:t>
      </w:r>
    </w:p>
    <w:p w14:paraId="174DBB90" w14:textId="77777777" w:rsidR="00B34403" w:rsidRPr="00756303" w:rsidRDefault="00B34403" w:rsidP="00B34403">
      <w:pPr>
        <w:pStyle w:val="SARJSubttulo"/>
        <w:rPr>
          <w:sz w:val="24"/>
          <w:szCs w:val="20"/>
        </w:rPr>
      </w:pPr>
      <w:r w:rsidRPr="00756303">
        <w:rPr>
          <w:bCs/>
          <w:sz w:val="24"/>
          <w:szCs w:val="20"/>
          <w:lang w:eastAsia="es-EC"/>
        </w:rPr>
        <w:t>Conflictos de interés</w:t>
      </w:r>
    </w:p>
    <w:p w14:paraId="1C21475A" w14:textId="77777777" w:rsidR="00B34403" w:rsidRPr="00B34403" w:rsidRDefault="00B34403" w:rsidP="00B34403">
      <w:pPr>
        <w:pStyle w:val="SARJPrimerprrafo"/>
      </w:pPr>
      <w:r w:rsidRPr="00B34403">
        <w:rPr>
          <w:lang w:val="es-ES"/>
        </w:rPr>
        <w:t xml:space="preserve">Declare cualquier relación económica, laboral o personal que </w:t>
      </w:r>
      <w:r w:rsidRPr="00A055B6">
        <w:rPr>
          <w:lang w:val="es-ES"/>
        </w:rPr>
        <w:t>pudiera</w:t>
      </w:r>
      <w:r w:rsidRPr="00B34403">
        <w:rPr>
          <w:lang w:val="es-ES"/>
        </w:rPr>
        <w:t xml:space="preserve"> influir en el estudio. Si no existen conflictos, escriba: «Los autores declaran no tener conflictos de interés».</w:t>
      </w:r>
    </w:p>
    <w:p w14:paraId="43BAF879" w14:textId="77777777" w:rsidR="00B34403" w:rsidRPr="00756303" w:rsidRDefault="00B34403" w:rsidP="00B34403">
      <w:pPr>
        <w:pStyle w:val="SARJSubttulo"/>
        <w:rPr>
          <w:sz w:val="24"/>
          <w:szCs w:val="20"/>
        </w:rPr>
      </w:pPr>
      <w:r w:rsidRPr="00756303">
        <w:rPr>
          <w:bCs/>
          <w:sz w:val="24"/>
          <w:szCs w:val="20"/>
          <w:lang w:eastAsia="es-EC"/>
        </w:rPr>
        <w:t>Contribuciones de los autores</w:t>
      </w:r>
    </w:p>
    <w:p w14:paraId="76DB1D4F" w14:textId="77777777" w:rsidR="00B34403" w:rsidRPr="00B34403" w:rsidRDefault="00B34403" w:rsidP="00B34403">
      <w:pPr>
        <w:pStyle w:val="SARJPrimerprrafo"/>
      </w:pPr>
      <w:commentRangeStart w:id="21"/>
      <w:r w:rsidRPr="00B34403">
        <w:rPr>
          <w:lang w:val="es-ES"/>
        </w:rPr>
        <w:t xml:space="preserve">Describa qué realizó cada autor: conceptualización, metodología, recolección de datos, análisis, </w:t>
      </w:r>
      <w:r w:rsidRPr="00B34403">
        <w:rPr>
          <w:lang w:val="es-ES"/>
        </w:rPr>
        <w:lastRenderedPageBreak/>
        <w:t xml:space="preserve">redacción, revisión o </w:t>
      </w:r>
      <w:r w:rsidRPr="00A055B6">
        <w:rPr>
          <w:lang w:val="es-ES"/>
        </w:rPr>
        <w:t>supervisión</w:t>
      </w:r>
      <w:r w:rsidRPr="00B34403">
        <w:rPr>
          <w:lang w:val="es-ES"/>
        </w:rPr>
        <w:t>. Ejemplo: «Autor 1: conceptualización, metodología y análisis. Autor 2: recolección de datos, redacción y revisión»</w:t>
      </w:r>
      <w:commentRangeEnd w:id="21"/>
      <w:r w:rsidR="00F0508A" w:rsidRPr="00B34403">
        <w:rPr>
          <w:rStyle w:val="Refdecomentario"/>
          <w:sz w:val="24"/>
          <w:szCs w:val="22"/>
          <w:lang w:val="es-ES"/>
        </w:rPr>
        <w:commentReference w:id="21"/>
      </w:r>
      <w:r w:rsidRPr="00B34403">
        <w:rPr>
          <w:lang w:val="es-ES"/>
        </w:rPr>
        <w:t>.</w:t>
      </w:r>
    </w:p>
    <w:p w14:paraId="4F005A5B" w14:textId="77777777" w:rsidR="00B34403" w:rsidRPr="00756303" w:rsidRDefault="00B34403" w:rsidP="00B34403">
      <w:pPr>
        <w:pStyle w:val="SARJSubttulo"/>
        <w:rPr>
          <w:sz w:val="24"/>
          <w:szCs w:val="20"/>
        </w:rPr>
      </w:pPr>
      <w:r w:rsidRPr="00756303">
        <w:rPr>
          <w:bCs/>
          <w:sz w:val="24"/>
          <w:szCs w:val="20"/>
          <w:lang w:eastAsia="es-EC"/>
        </w:rPr>
        <w:t>Consideraciones éticas</w:t>
      </w:r>
    </w:p>
    <w:p w14:paraId="5B973C3C" w14:textId="77777777" w:rsidR="00B34403" w:rsidRPr="00B34403" w:rsidRDefault="00B34403" w:rsidP="00B34403">
      <w:pPr>
        <w:pStyle w:val="SARJPrimerprrafo"/>
      </w:pPr>
      <w:commentRangeStart w:id="22"/>
      <w:r w:rsidRPr="00B34403">
        <w:rPr>
          <w:lang w:val="es-ES"/>
        </w:rPr>
        <w:t xml:space="preserve">Cuando corresponda, identifique el comité que aprobó la </w:t>
      </w:r>
      <w:r w:rsidRPr="00A055B6">
        <w:rPr>
          <w:lang w:val="es-ES"/>
        </w:rPr>
        <w:t>investigación</w:t>
      </w:r>
      <w:r w:rsidRPr="00B34403">
        <w:rPr>
          <w:lang w:val="es-ES"/>
        </w:rPr>
        <w:t xml:space="preserve"> y el código de aprobación. Explique cómo se obtuvo el consentimiento informado y se protegió la confidencialidad. Si no fue necesaria una evaluación ética, justifique brevemente el motivo. No declare aprobaciones que no se hayan obtenido.</w:t>
      </w:r>
      <w:commentRangeEnd w:id="22"/>
      <w:r w:rsidRPr="00B34403">
        <w:rPr>
          <w:rStyle w:val="Refdecomentario"/>
          <w:sz w:val="24"/>
          <w:szCs w:val="22"/>
        </w:rPr>
        <w:commentReference w:id="22"/>
      </w:r>
    </w:p>
    <w:p w14:paraId="53EEA835" w14:textId="77777777" w:rsidR="00B34403" w:rsidRDefault="00B34403" w:rsidP="00B34403">
      <w:pPr>
        <w:pStyle w:val="SARJSubttulo"/>
      </w:pPr>
      <w:r w:rsidRPr="00756303">
        <w:rPr>
          <w:bCs/>
          <w:sz w:val="24"/>
          <w:szCs w:val="20"/>
          <w:lang w:eastAsia="es-EC"/>
        </w:rPr>
        <w:t>Disponibilidad de datos y materiales</w:t>
      </w:r>
    </w:p>
    <w:p w14:paraId="05B7CE00" w14:textId="77777777" w:rsidR="00B34403" w:rsidRPr="00B34403" w:rsidRDefault="00B34403" w:rsidP="00B34403">
      <w:pPr>
        <w:pStyle w:val="SARJPrimerprrafo"/>
      </w:pPr>
      <w:commentRangeStart w:id="23"/>
      <w:r w:rsidRPr="00B34403">
        <w:rPr>
          <w:lang w:val="es-ES"/>
        </w:rPr>
        <w:t xml:space="preserve">Indique cómo pueden consultarse los datos, instrumentos o </w:t>
      </w:r>
      <w:r w:rsidRPr="00A055B6">
        <w:rPr>
          <w:lang w:val="es-ES"/>
        </w:rPr>
        <w:t>materiales</w:t>
      </w:r>
      <w:r w:rsidRPr="00B34403">
        <w:rPr>
          <w:lang w:val="es-ES"/>
        </w:rPr>
        <w:t xml:space="preserve"> del estudio. Incluya el enlace al repositorio, si existe. Si su acceso está restringido, explique la razón y las condiciones para solicitarlos.</w:t>
      </w:r>
      <w:commentRangeEnd w:id="23"/>
      <w:r w:rsidRPr="00B34403">
        <w:rPr>
          <w:rStyle w:val="Refdecomentario"/>
          <w:sz w:val="24"/>
          <w:szCs w:val="22"/>
        </w:rPr>
        <w:commentReference w:id="23"/>
      </w:r>
    </w:p>
    <w:p w14:paraId="77669A2F" w14:textId="77777777" w:rsidR="00B34403" w:rsidRPr="00756303" w:rsidRDefault="00B34403" w:rsidP="00B34403">
      <w:pPr>
        <w:pStyle w:val="SARJSubttulo"/>
        <w:rPr>
          <w:sz w:val="24"/>
          <w:szCs w:val="20"/>
        </w:rPr>
      </w:pPr>
      <w:r w:rsidRPr="00756303">
        <w:rPr>
          <w:bCs/>
          <w:sz w:val="24"/>
          <w:szCs w:val="20"/>
          <w:lang w:eastAsia="es-EC"/>
        </w:rPr>
        <w:t>Agradecimientos</w:t>
      </w:r>
    </w:p>
    <w:p w14:paraId="3635E227" w14:textId="77777777" w:rsidR="00B34403" w:rsidRPr="00B34403" w:rsidRDefault="00B34403" w:rsidP="00B34403">
      <w:pPr>
        <w:pStyle w:val="SARJPrimerprrafo"/>
      </w:pPr>
      <w:commentRangeStart w:id="24"/>
      <w:r w:rsidRPr="00B34403">
        <w:rPr>
          <w:lang w:val="es-ES"/>
        </w:rPr>
        <w:t xml:space="preserve">Reconozca las contribuciones de personas o instituciones que apoyaron el trabajo y que no cumplen los </w:t>
      </w:r>
      <w:r w:rsidRPr="00A055B6">
        <w:rPr>
          <w:lang w:val="es-ES"/>
        </w:rPr>
        <w:t>criterios</w:t>
      </w:r>
      <w:r w:rsidRPr="00B34403">
        <w:rPr>
          <w:lang w:val="es-ES"/>
        </w:rPr>
        <w:t xml:space="preserve"> de autoría. Obtenga su conformidad antes de mencionarlas. Omita este apartado si no corresponde.</w:t>
      </w:r>
      <w:commentRangeEnd w:id="24"/>
      <w:r w:rsidRPr="00B34403">
        <w:rPr>
          <w:rStyle w:val="Refdecomentario"/>
          <w:sz w:val="24"/>
          <w:szCs w:val="22"/>
        </w:rPr>
        <w:commentReference w:id="24"/>
      </w:r>
    </w:p>
    <w:p w14:paraId="4C31CD5B" w14:textId="77777777" w:rsidR="00DB64DC" w:rsidRPr="009C2DF6" w:rsidRDefault="00DB64DC" w:rsidP="009C2DF6">
      <w:pPr>
        <w:pStyle w:val="SARJSeccin"/>
      </w:pPr>
      <w:commentRangeStart w:id="25"/>
      <w:r w:rsidRPr="009C2DF6">
        <w:rPr>
          <w:bCs/>
        </w:rPr>
        <w:t>REFERENCIAS</w:t>
      </w:r>
      <w:commentRangeEnd w:id="25"/>
      <w:r w:rsidRPr="009C2DF6">
        <w:rPr>
          <w:rStyle w:val="Refdecomentario"/>
          <w:sz w:val="28"/>
          <w:szCs w:val="22"/>
        </w:rPr>
        <w:commentReference w:id="25"/>
      </w:r>
    </w:p>
    <w:p w14:paraId="2D9FF812" w14:textId="77777777" w:rsidR="00B34403" w:rsidRPr="00A055B6" w:rsidRDefault="00B34403" w:rsidP="009C2DF6">
      <w:pPr>
        <w:pStyle w:val="SARJReferencia"/>
        <w:rPr>
          <w:lang w:val="en-US"/>
        </w:rPr>
      </w:pPr>
      <w:r w:rsidRPr="00B34403">
        <w:t xml:space="preserve">Braun, V., &amp; Clarke, V. (2006). </w:t>
      </w:r>
      <w:r w:rsidRPr="00B34403">
        <w:rPr>
          <w:lang w:val="en-US"/>
        </w:rPr>
        <w:t xml:space="preserve">Using thematic analysis in psychology. </w:t>
      </w:r>
      <w:r w:rsidRPr="00B34403">
        <w:rPr>
          <w:i/>
          <w:iCs/>
          <w:lang w:val="en-US"/>
        </w:rPr>
        <w:t>Qualitative Research in Psychology, 3</w:t>
      </w:r>
      <w:r w:rsidRPr="00B34403">
        <w:rPr>
          <w:lang w:val="en-US"/>
        </w:rPr>
        <w:t xml:space="preserve">(2), 77–101. </w:t>
      </w:r>
      <w:hyperlink r:id="rId14" w:history="1">
        <w:r w:rsidRPr="00B34403">
          <w:rPr>
            <w:rStyle w:val="Hipervnculo"/>
            <w:rFonts w:eastAsia="Times New Roman" w:cs="Times New Roman"/>
            <w:lang w:val="en-US"/>
          </w:rPr>
          <w:t>https://doi.org/10.1191/1478088706qp063oa</w:t>
        </w:r>
      </w:hyperlink>
      <w:r w:rsidRPr="00B34403">
        <w:rPr>
          <w:lang w:val="en-US"/>
        </w:rPr>
        <w:t xml:space="preserve"> </w:t>
      </w:r>
    </w:p>
    <w:p w14:paraId="6CFCA679" w14:textId="77777777" w:rsidR="00B34403" w:rsidRPr="00A055B6" w:rsidRDefault="00B34403" w:rsidP="009C2DF6">
      <w:pPr>
        <w:pStyle w:val="SARJReferencia"/>
        <w:rPr>
          <w:lang w:val="en-US"/>
        </w:rPr>
      </w:pPr>
      <w:r w:rsidRPr="00B34403">
        <w:rPr>
          <w:lang w:val="en-US"/>
        </w:rPr>
        <w:t xml:space="preserve">Creswell, J. W., &amp; Plano Clark, V. L. (2018). </w:t>
      </w:r>
      <w:r w:rsidRPr="00B34403">
        <w:rPr>
          <w:i/>
          <w:iCs/>
          <w:lang w:val="en-US"/>
        </w:rPr>
        <w:t>Designing and conducting mixed methods research</w:t>
      </w:r>
      <w:r w:rsidRPr="00B34403">
        <w:rPr>
          <w:lang w:val="en-US"/>
        </w:rPr>
        <w:t xml:space="preserve"> (3.ª ed.). SAGE Publications. </w:t>
      </w:r>
    </w:p>
    <w:p w14:paraId="338B6B4A" w14:textId="77777777" w:rsidR="00B34403" w:rsidRPr="00A055B6" w:rsidRDefault="00B34403" w:rsidP="009C2DF6">
      <w:pPr>
        <w:pStyle w:val="SARJReferencia"/>
        <w:rPr>
          <w:lang w:val="en-US"/>
        </w:rPr>
      </w:pPr>
      <w:r w:rsidRPr="00B34403">
        <w:rPr>
          <w:lang w:val="en-US"/>
        </w:rPr>
        <w:t xml:space="preserve">Putnam, R. D. (2000). </w:t>
      </w:r>
      <w:r w:rsidRPr="00B34403">
        <w:rPr>
          <w:i/>
          <w:iCs/>
          <w:lang w:val="en-US"/>
        </w:rPr>
        <w:t>Bowling alone: The collapse and revival of American community</w:t>
      </w:r>
      <w:r w:rsidRPr="00B34403">
        <w:rPr>
          <w:lang w:val="en-US"/>
        </w:rPr>
        <w:t>. Simon &amp; Schuster</w:t>
      </w:r>
      <w:r>
        <w:rPr>
          <w:lang w:val="en-US"/>
        </w:rPr>
        <w:t xml:space="preserve">. </w:t>
      </w:r>
      <w:r w:rsidRPr="00B34403">
        <w:rPr>
          <w:lang w:val="en-US"/>
        </w:rPr>
        <w:t xml:space="preserve">. </w:t>
      </w:r>
    </w:p>
    <w:p w14:paraId="069FCF20" w14:textId="77777777" w:rsidR="009C2DF6" w:rsidRPr="00A055B6" w:rsidRDefault="00B34403" w:rsidP="009C2DF6">
      <w:pPr>
        <w:pStyle w:val="SARJReferencia"/>
        <w:rPr>
          <w:lang w:val="en-US"/>
        </w:rPr>
      </w:pPr>
      <w:r w:rsidRPr="00B34403">
        <w:rPr>
          <w:lang w:val="en-US"/>
        </w:rPr>
        <w:t xml:space="preserve">Sen, A. (1999). </w:t>
      </w:r>
      <w:r w:rsidRPr="00B34403">
        <w:rPr>
          <w:i/>
          <w:iCs/>
          <w:lang w:val="en-US"/>
        </w:rPr>
        <w:t>Development as freedom</w:t>
      </w:r>
      <w:r w:rsidRPr="00B34403">
        <w:rPr>
          <w:lang w:val="en-US"/>
        </w:rPr>
        <w:t>. Alfred A. Knopf.</w:t>
      </w:r>
    </w:p>
    <w:p w14:paraId="3BD9BEEA" w14:textId="77777777" w:rsidR="00413081" w:rsidRPr="00B34403" w:rsidRDefault="00BF4C68" w:rsidP="00BF4C68">
      <w:pPr>
        <w:rPr>
          <w:rFonts w:cs="Times New Roman"/>
          <w:szCs w:val="24"/>
          <w:lang w:val="en-US"/>
        </w:rPr>
      </w:pPr>
      <w:r w:rsidRPr="00B34403">
        <w:rPr>
          <w:rFonts w:cs="Times New Roman"/>
          <w:szCs w:val="24"/>
          <w:lang w:val="en-US"/>
        </w:rPr>
        <w:t xml:space="preserve"> </w:t>
      </w:r>
    </w:p>
    <w:p w14:paraId="2B7DEB01" w14:textId="77777777" w:rsidR="00413081" w:rsidRPr="00B34403" w:rsidRDefault="00413081" w:rsidP="00413081">
      <w:pPr>
        <w:pStyle w:val="SARJSeccin"/>
      </w:pPr>
      <w:commentRangeStart w:id="26"/>
      <w:r w:rsidRPr="00A055B6">
        <w:rPr>
          <w:bCs/>
          <w:lang w:val="es-ES"/>
        </w:rPr>
        <w:t>ANEXO</w:t>
      </w:r>
      <w:r w:rsidR="00B34403" w:rsidRPr="00A055B6">
        <w:rPr>
          <w:bCs/>
          <w:lang w:val="es-ES"/>
        </w:rPr>
        <w:t>(S)</w:t>
      </w:r>
      <w:commentRangeEnd w:id="26"/>
      <w:r w:rsidRPr="00B34403">
        <w:rPr>
          <w:rStyle w:val="Refdecomentario"/>
          <w:sz w:val="28"/>
          <w:szCs w:val="22"/>
        </w:rPr>
        <w:commentReference w:id="26"/>
      </w:r>
    </w:p>
    <w:p w14:paraId="18AD5098" w14:textId="77777777" w:rsidR="00B34403" w:rsidRDefault="00B34403" w:rsidP="00B34403">
      <w:pPr>
        <w:pStyle w:val="SARJPrimerprrafo"/>
      </w:pPr>
      <w:r w:rsidRPr="00B34403">
        <w:t xml:space="preserve">Incluya instrumentos, tablas adicionales u otros materiales necesarios para comprender o reproducir el estudio. Identifique cada elemento y menciónelo en el texto. </w:t>
      </w:r>
    </w:p>
    <w:p w14:paraId="4BF998C8" w14:textId="77777777" w:rsidR="002430DA" w:rsidRPr="00B34403" w:rsidRDefault="00B34403" w:rsidP="00B34403">
      <w:pPr>
        <w:pStyle w:val="SARJPrrafo"/>
      </w:pPr>
      <w:r w:rsidRPr="00B34403">
        <w:t>Omita este apartado si no corresponde. Envíe los archivos extensos como material complementario.</w:t>
      </w:r>
    </w:p>
    <w:sectPr w:rsidR="002430DA" w:rsidRPr="00B34403" w:rsidSect="004E4EC7">
      <w:type w:val="continuous"/>
      <w:pgSz w:w="11906" w:h="16838"/>
      <w:pgMar w:top="720" w:right="720" w:bottom="720" w:left="720" w:header="850" w:footer="708"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41670806" w14:textId="77777777" w:rsidR="004012E2" w:rsidRDefault="00000000">
      <w:r>
        <w:annotationRef/>
      </w:r>
      <w:r>
        <w:t>USO DE LA PLANTILLA. Sustituya el texto en latín y los ejemplos por el contenido de su artículo. Conserve los estilos, la sangría y el formato. Pegue el texto sin formato para evitar introducir otros tipos de letra. Complete las declaraciones finales y retire las instrucciones y comentarios antes de enviar el manuscrito. El título debe expresar con precisión el tema del estudio. Título principal: Times New Roman de 16 pt, negrita, sin sangría. Seleccione el estilo Title (Título).</w:t>
      </w:r>
    </w:p>
  </w:comment>
  <w:comment w:id="1" w:author="Autor" w:initials="A">
    <w:p w14:paraId="28ABA014" w14:textId="77777777" w:rsidR="004012E2" w:rsidRDefault="00000000">
      <w:r>
        <w:annotationRef/>
      </w:r>
      <w:r>
        <w:t>Incluya aquí la traducción del título al inglés. Compruebe su correspondencia con el título en castellano. Use «SARJ Título inglés»: 14 pt, negrita y cursiva, sin sangría.</w:t>
      </w:r>
    </w:p>
  </w:comment>
  <w:comment w:id="2" w:author="Autor" w:initials="A">
    <w:p w14:paraId="4B3A5164" w14:textId="77777777" w:rsidR="00B569FA" w:rsidRDefault="00000000" w:rsidP="00B569FA">
      <w:pPr>
        <w:pStyle w:val="Textocomentario"/>
        <w:jc w:val="left"/>
      </w:pPr>
      <w:r>
        <w:annotationRef/>
      </w:r>
      <w:r w:rsidR="00B569FA">
        <w:t>ESPACIO EDITORIAL. Las fechas de recepción, aceptación y publicación las completa la revista. El volumen, número, URL y DOI de ejemplo del encabezado y pie serán sustituidos por la revista durante la edición.</w:t>
      </w:r>
    </w:p>
  </w:comment>
  <w:comment w:id="3" w:author="Autor" w:initials="A">
    <w:p w14:paraId="17513635" w14:textId="336C009C" w:rsidR="004012E2" w:rsidRDefault="00000000">
      <w:r>
        <w:annotationRef/>
      </w:r>
      <w:r>
        <w:t>Redacte un resumen de hasta 250 palabras en un solo párrafo. Incluya objetivo, metodología, resultados principales y conclusión. Sustituya íntegramente el texto de ejemplo. Formato del resumen: 12 pt, justificado, interlineado sencillo y sin sangría. No añada líneas vacías.</w:t>
      </w:r>
    </w:p>
  </w:comment>
  <w:comment w:id="4" w:author="Autor" w:initials="A">
    <w:p w14:paraId="219950AB" w14:textId="77777777" w:rsidR="004012E2" w:rsidRDefault="00000000">
      <w:r>
        <w:annotationRef/>
      </w:r>
      <w:r>
        <w:t>Seleccione términos específicos que permitan localizar el artículo. Respete la cantidad indicada en las instrucciones para autores de la revista.</w:t>
      </w:r>
    </w:p>
  </w:comment>
  <w:comment w:id="5" w:author="Autor" w:initials="A">
    <w:p w14:paraId="11B8798E" w14:textId="77777777" w:rsidR="004012E2" w:rsidRDefault="00000000">
      <w:r>
        <w:annotationRef/>
      </w:r>
      <w:r>
        <w:t>El abstract debe ser la traducción fiel del resumen. Mantenga los mismos objetivos, datos, resultados y conclusiones; traduzca también las palabras clave.</w:t>
      </w:r>
    </w:p>
  </w:comment>
  <w:comment w:id="6" w:author="Autor" w:initials="A">
    <w:p w14:paraId="67C6F2E9" w14:textId="77777777" w:rsidR="00B569FA" w:rsidRDefault="00000000" w:rsidP="00B569FA">
      <w:pPr>
        <w:pStyle w:val="Textocomentario"/>
        <w:jc w:val="left"/>
      </w:pPr>
      <w:r>
        <w:annotationRef/>
      </w:r>
      <w:r w:rsidR="00B569FA">
        <w:t>Presente el problema de investigación. Desarrolle el estado del arte, sintetizando los estudios previos, sus hallazgos y los aspectos pendientes de investigación. Exponga el fundamento teórico, definiendo los conceptos y las perspectivas que orientan el estudio. Ambos componentes pueden integrarse en la introducción o distinguirse mediante subtítulos, según la extensión y las necesidades del artículo. Justifique la investigación a partir del vacío identificado y cierre con el objetivo o la pregunta de investigación. Cite las fuentes que sustentan sus afirmaciones.</w:t>
      </w:r>
    </w:p>
    <w:p w14:paraId="5661C975" w14:textId="77777777" w:rsidR="00B569FA" w:rsidRDefault="00B569FA" w:rsidP="00B569FA">
      <w:pPr>
        <w:pStyle w:val="Textocomentario"/>
        <w:jc w:val="left"/>
      </w:pPr>
    </w:p>
    <w:p w14:paraId="6D1BF05C" w14:textId="77777777" w:rsidR="00B569FA" w:rsidRDefault="00B569FA" w:rsidP="00B569FA">
      <w:pPr>
        <w:pStyle w:val="Textocomentario"/>
        <w:jc w:val="left"/>
      </w:pPr>
      <w:r>
        <w:t>Formato: títulos de sección de 14 pt, en negrita, mayúsculas y centrados; 10 pt antes y 4 pt después. Subtítulos de 13 pt, en negrita y alineados a la izquierda. El primer párrafo después de un título o subtítulo no lleva sangría; los siguientes, 0,74 cm.</w:t>
      </w:r>
    </w:p>
  </w:comment>
  <w:comment w:id="7" w:author="Autor" w:initials="A">
    <w:p w14:paraId="63E0E6F7" w14:textId="73E100DE" w:rsidR="004012E2" w:rsidRDefault="00000000">
      <w:r>
        <w:annotationRef/>
      </w:r>
      <w:r>
        <w:t>Párrafos sucesivos: Times New Roman de 12 pt, justificados, interlineado sencillo, 0 pt antes y después, sangría de primera línea de 0,74 cm. Tras una tabla o figura, conserve esta sangría si continúa el desarrollo del mismo apartado.</w:t>
      </w:r>
    </w:p>
  </w:comment>
  <w:comment w:id="8" w:author="Autor" w:initials="A">
    <w:p w14:paraId="46098126" w14:textId="77777777" w:rsidR="00B569FA" w:rsidRDefault="00000000" w:rsidP="00B569FA">
      <w:pPr>
        <w:pStyle w:val="Textocomentario"/>
        <w:jc w:val="left"/>
      </w:pPr>
      <w:r>
        <w:annotationRef/>
      </w:r>
      <w:r w:rsidR="00B569FA">
        <w:t>Describa el diseño de investigación, el contexto, los participantes o fuentes, los criterios de selección, los instrumentos, los procedimientos y el análisis. Incluya información suficiente para comprender cómo se obtuvieron los resultados. Adapte los elementos al tipo de estudio. Use los estilos «SARJ Subtítulo», «SARJ Primer párrafo» y «SARJ Párrafo». La sangría se aplica automáticamente. No separe los párrafos con líneas vacías.</w:t>
      </w:r>
    </w:p>
  </w:comment>
  <w:comment w:id="9" w:author="Autor" w:initials="A">
    <w:p w14:paraId="75AC6C76" w14:textId="549A26B5" w:rsidR="004012E2" w:rsidRDefault="00000000">
      <w:r>
        <w:annotationRef/>
      </w:r>
      <w:r>
        <w:t>Subtítulos: Times New Roman de 13 pt, negrita, alineados a la izquierda; 8 pt antes y 3 pt después. No llevan sangría. El párrafo siguiente usa «SARJ Primer párrafo». Añada solo los subtítulos que requiera su estudio.</w:t>
      </w:r>
    </w:p>
  </w:comment>
  <w:comment w:id="10" w:author="Autor" w:initials="A">
    <w:p w14:paraId="72C9ED04" w14:textId="77777777" w:rsidR="004012E2" w:rsidRDefault="00000000">
      <w:r>
        <w:annotationRef/>
      </w:r>
      <w:r>
        <w:t>Organice los hallazgos según los objetivos. Mencione cada tabla o figura en el texto y destaque sus resultados relevantes sin repetir todos sus datos. Los valores de esta plantilla son ficticios y deben reemplazarse.</w:t>
      </w:r>
    </w:p>
  </w:comment>
  <w:comment w:id="11" w:author="Autor" w:initials="A">
    <w:p w14:paraId="47969FEC" w14:textId="77777777" w:rsidR="004012E2" w:rsidRDefault="00000000">
      <w:r>
        <w:annotationRef/>
      </w:r>
      <w:r>
        <w:t>TABLAS GRANDES Y SALTOS DE SECCIÓN. Use los saltos para cambiar temporalmente a una columna solo cuando una tabla o figura necesite todo el ancho de la página. Inserte un salto de sección «Continua» antes de su título y otro después de su nota o fuente. Sitúe el cursor entre ambos saltos y establezca una columna, aplicada a esa sección. Compruebe que la sección posterior conserva dos columnas. Incluya título, tabla o figura y notas dentro de la misma sección. El salto «Columna» solo lleva el texto a la columna siguiente; no amplía el ancho. «Página siguiente» inicia otra página y no es necesario para este cambio. Active ¶ para ver los saltos y evite borrarlos al reemplazar los ejemplos.</w:t>
      </w:r>
    </w:p>
  </w:comment>
  <w:comment w:id="12" w:author="Autor" w:initials="A">
    <w:p w14:paraId="7882091B" w14:textId="77777777" w:rsidR="004012E2" w:rsidRDefault="00000000">
      <w:r>
        <w:annotationRef/>
      </w:r>
      <w:r>
        <w:t>Escriba un título informativo. Mantenga las tablas editables en Word, con numeración consecutiva. Explique las abreviaturas y unidades en sus encabezados o notas. Si caben con buena legibilidad en una columna, conserve las dos columnas y no añada saltos de sección. Número: 11 pt en negrita. Título: 11 pt en cursiva. Contenido tabular: 10 pt en este ejemplo. Notas y fuentes: 10 pt. Ninguno lleva sangría de primera línea.</w:t>
      </w:r>
    </w:p>
  </w:comment>
  <w:comment w:id="13" w:author="Autor" w:initials="A">
    <w:p w14:paraId="2FA451FC" w14:textId="77777777" w:rsidR="004012E2" w:rsidRDefault="00A055B6">
      <w:r>
        <w:rPr>
          <w:rStyle w:val="Refdecomentario"/>
        </w:rPr>
        <w:annotationRef/>
      </w:r>
      <w:r w:rsidR="00000000">
        <w:t>Mantenga la nota y la fuente debajo de la tabla, dentro de la misma sección. No inserte un salto de sección entre la tabla y sus notas.</w:t>
      </w:r>
    </w:p>
  </w:comment>
  <w:comment w:id="14" w:author="Autor" w:initials="A">
    <w:p w14:paraId="4DEA1014" w14:textId="77777777" w:rsidR="00756303" w:rsidRDefault="00A055B6" w:rsidP="00756303">
      <w:pPr>
        <w:pStyle w:val="Textocomentario"/>
        <w:jc w:val="left"/>
      </w:pPr>
      <w:r>
        <w:rPr>
          <w:rStyle w:val="Refdecomentario"/>
        </w:rPr>
        <w:annotationRef/>
      </w:r>
      <w:r w:rsidR="00756303">
        <w:t>Sustituya esta fuente por la procedencia real de los datos, no ponga “elaboración propia” pues se asume que todo es su elaboración excepto lo citado. Mencione el programa y la versión únicamente si corresponde.</w:t>
      </w:r>
    </w:p>
  </w:comment>
  <w:comment w:id="15" w:author="Autor" w:initials="A">
    <w:p w14:paraId="2777BFCF" w14:textId="77777777" w:rsidR="00756303" w:rsidRDefault="00A055B6" w:rsidP="00756303">
      <w:pPr>
        <w:pStyle w:val="Textocomentario"/>
        <w:jc w:val="left"/>
      </w:pPr>
      <w:r>
        <w:rPr>
          <w:rStyle w:val="Refdecomentario"/>
        </w:rPr>
        <w:annotationRef/>
      </w:r>
      <w:r w:rsidR="00756303">
        <w:t xml:space="preserve">Mantenga juntos el número, el título y la imagen mediante «Conservar con el siguiente». Para una figura ancha, coloque todo el bloque, incluida la fuente, entre dos saltos de sección continuos y aplique una columna solo a esa sección. Si hace falta ocupe todo el ancho de la hoja con las indicaciones que se le dio en la tabla. </w:t>
      </w:r>
    </w:p>
  </w:comment>
  <w:comment w:id="16" w:author="Autor" w:initials="A">
    <w:p w14:paraId="38063B4C" w14:textId="130D2783" w:rsidR="004012E2" w:rsidRDefault="00000000">
      <w:r>
        <w:annotationRef/>
      </w:r>
      <w:r>
        <w:t>Use un título descriptivo y una imagen nítida, con rótulos legibles al tamaño final. Numere las figuras por orden de aparición y menciónelas en el texto. Coloque la fuente debajo.</w:t>
      </w:r>
    </w:p>
  </w:comment>
  <w:comment w:id="17" w:author="Autor" w:initials="A">
    <w:p w14:paraId="621D96F1" w14:textId="77777777" w:rsidR="00756303" w:rsidRDefault="00A055B6" w:rsidP="00756303">
      <w:pPr>
        <w:pStyle w:val="Textocomentario"/>
        <w:jc w:val="left"/>
      </w:pPr>
      <w:r>
        <w:rPr>
          <w:rStyle w:val="Refdecomentario"/>
        </w:rPr>
        <w:annotationRef/>
      </w:r>
      <w:r w:rsidR="00756303">
        <w:t>Indique la procedencia real de la figura cuando adapte o reproduzca una figura ajena, cite la fuente y compruebe las condiciones de uso.</w:t>
      </w:r>
    </w:p>
  </w:comment>
  <w:comment w:id="18" w:author="Autor" w:initials="A">
    <w:p w14:paraId="24348E91" w14:textId="760F9E5F" w:rsidR="004012E2" w:rsidRDefault="00000000">
      <w:r>
        <w:annotationRef/>
      </w:r>
      <w:r>
        <w:t>Interprete los hallazgos en relación con el objetivo y con estudios previos. Explique coincidencias, diferencias, implicaciones y limitaciones. Evite repetir extensamente los resultados o atribuir causalidad a un diseño que no permita establecerla.</w:t>
      </w:r>
    </w:p>
  </w:comment>
  <w:comment w:id="19" w:author="Autor" w:initials="A">
    <w:p w14:paraId="0F4E238D" w14:textId="77777777" w:rsidR="004012E2" w:rsidRDefault="00000000">
      <w:r>
        <w:annotationRef/>
      </w:r>
      <w:r>
        <w:t>Responda al objetivo con las conclusiones sustentadas por los resultados. Señale las implicaciones principales y, cuando proceda, futuras líneas de investigación. No incorpore resultados nuevos.</w:t>
      </w:r>
    </w:p>
  </w:comment>
  <w:comment w:id="20" w:author="Autor" w:initials="A">
    <w:p w14:paraId="171B9CD1" w14:textId="77777777" w:rsidR="00F0508A" w:rsidRDefault="00000000" w:rsidP="00F0508A">
      <w:pPr>
        <w:pStyle w:val="Textocomentario"/>
        <w:jc w:val="left"/>
      </w:pPr>
      <w:r>
        <w:annotationRef/>
      </w:r>
      <w:r w:rsidR="00F0508A">
        <w:t xml:space="preserve">DECLARACIONES FINALES. </w:t>
      </w:r>
    </w:p>
    <w:p w14:paraId="43B687A7" w14:textId="77777777" w:rsidR="00F0508A" w:rsidRDefault="00F0508A" w:rsidP="00F0508A">
      <w:pPr>
        <w:pStyle w:val="Textocomentario"/>
        <w:jc w:val="left"/>
      </w:pPr>
      <w:r>
        <w:t>Sustituya las instrucciones de estos apartados por declaraciones referidas a su estudio. No copie los ejemplos si no describen su situación. En el uso de IA, identifique la herramienta (cite su versión aquí y ponga la fuente en referencias) y la tarea concreta; si no se utilizó, indíquelo.</w:t>
      </w:r>
    </w:p>
  </w:comment>
  <w:comment w:id="21" w:author="Autor" w:initials="A">
    <w:p w14:paraId="2BF9E141" w14:textId="77777777" w:rsidR="00F0508A" w:rsidRDefault="00F0508A" w:rsidP="00F0508A">
      <w:pPr>
        <w:pStyle w:val="Textocomentario"/>
        <w:jc w:val="left"/>
      </w:pPr>
      <w:r>
        <w:rPr>
          <w:rStyle w:val="Refdecomentario"/>
        </w:rPr>
        <w:annotationRef/>
      </w:r>
      <w:r>
        <w:t>Las contribuciones se declaran según la taxonomía CRediT.</w:t>
      </w:r>
    </w:p>
  </w:comment>
  <w:comment w:id="22" w:author="Autor" w:initials="A">
    <w:p w14:paraId="4C7EEAAF" w14:textId="6EA30339" w:rsidR="004012E2" w:rsidRDefault="00000000">
      <w:r>
        <w:annotationRef/>
      </w:r>
      <w:r>
        <w:t>Informe lo que efectivamente se hizo. Si los datos del comité o institución identifican a los autores, facilite los detalles completos a la revista por separado y use una indicación de anonimización en esta versión. Reponga la información en la versión final.</w:t>
      </w:r>
    </w:p>
  </w:comment>
  <w:comment w:id="23" w:author="Autor" w:initials="A">
    <w:p w14:paraId="3BFE0D52" w14:textId="77777777" w:rsidR="004012E2" w:rsidRDefault="00000000">
      <w:r>
        <w:annotationRef/>
      </w:r>
      <w:r>
        <w:t>Proporcione enlaces que funcionen y respete la confidencialidad de los participantes. Si un repositorio revela la autoría, comuníquelo a la revista para acordar el acceso durante la evaluación anónima.</w:t>
      </w:r>
    </w:p>
  </w:comment>
  <w:comment w:id="24" w:author="Autor" w:initials="A">
    <w:p w14:paraId="1C51E326" w14:textId="77777777" w:rsidR="004012E2" w:rsidRDefault="00000000">
      <w:r>
        <w:annotationRef/>
      </w:r>
      <w:r>
        <w:t>Los agradecimientos pueden revelar la identidad de los autores. Reserve los nombres y las instituciones identificativas para la versión final o comuníquelos por separado a la revista. Omita el apartado si no corresponde.</w:t>
      </w:r>
    </w:p>
  </w:comment>
  <w:comment w:id="25" w:author="Autor" w:initials="A">
    <w:p w14:paraId="0C83F2EA" w14:textId="77777777" w:rsidR="004012E2" w:rsidRDefault="00000000">
      <w:r>
        <w:annotationRef/>
      </w:r>
      <w:r>
        <w:t>Incluya solo las obras citadas en el manuscrito y compruebe que todas las citas tengan su referencia. Se sugiere el título «REFERENCIAS». Mantenga el orden alfabético y la sangría francesa; sustituya todas las referencias de muestra por las realmente utilizadas. Use «SARJ Referencia»: 11 pt, interlineado sencillo, sangría francesa de 1,27 cm y 6 pt después, siguiendo el formato del artículo facilitado. No cree la sangría con tabulaciones.</w:t>
      </w:r>
    </w:p>
  </w:comment>
  <w:comment w:id="26" w:author="Autor" w:initials="A">
    <w:p w14:paraId="3D0AA0C6" w14:textId="77777777" w:rsidR="004012E2" w:rsidRDefault="00000000">
      <w:r>
        <w:annotationRef/>
      </w:r>
      <w:r>
        <w:t>Identifique los anexos por orden y menciónelos en el texto. Incluya únicamente materiales pertinentes. Los archivos extensos o bases de datos pueden enviarse como material complementario; respete la confidencialidad. Elimine este apartado si no corresponde.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670806" w15:done="0"/>
  <w15:commentEx w15:paraId="28ABA014" w15:done="0"/>
  <w15:commentEx w15:paraId="4B3A5164" w15:done="0"/>
  <w15:commentEx w15:paraId="17513635" w15:done="0"/>
  <w15:commentEx w15:paraId="219950AB" w15:done="0"/>
  <w15:commentEx w15:paraId="11B8798E" w15:done="0"/>
  <w15:commentEx w15:paraId="6D1BF05C" w15:done="0"/>
  <w15:commentEx w15:paraId="63E0E6F7" w15:done="0"/>
  <w15:commentEx w15:paraId="46098126" w15:done="0"/>
  <w15:commentEx w15:paraId="75AC6C76" w15:done="0"/>
  <w15:commentEx w15:paraId="72C9ED04" w15:done="0"/>
  <w15:commentEx w15:paraId="47969FEC" w15:done="0"/>
  <w15:commentEx w15:paraId="7882091B" w15:done="0"/>
  <w15:commentEx w15:paraId="2FA451FC" w15:done="0"/>
  <w15:commentEx w15:paraId="4DEA1014" w15:done="0"/>
  <w15:commentEx w15:paraId="2777BFCF" w15:done="0"/>
  <w15:commentEx w15:paraId="38063B4C" w15:done="0"/>
  <w15:commentEx w15:paraId="621D96F1" w15:done="0"/>
  <w15:commentEx w15:paraId="24348E91" w15:done="0"/>
  <w15:commentEx w15:paraId="0F4E238D" w15:done="0"/>
  <w15:commentEx w15:paraId="43B687A7" w15:done="0"/>
  <w15:commentEx w15:paraId="2BF9E141" w15:done="0"/>
  <w15:commentEx w15:paraId="4C7EEAAF" w15:done="0"/>
  <w15:commentEx w15:paraId="3BFE0D52" w15:done="0"/>
  <w15:commentEx w15:paraId="1C51E326" w15:done="0"/>
  <w15:commentEx w15:paraId="0C83F2EA" w15:done="0"/>
  <w15:commentEx w15:paraId="3D0AA0C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670806" w16cid:durableId="76647C93"/>
  <w16cid:commentId w16cid:paraId="28ABA014" w16cid:durableId="59EC3350"/>
  <w16cid:commentId w16cid:paraId="4B3A5164" w16cid:durableId="052EF030"/>
  <w16cid:commentId w16cid:paraId="17513635" w16cid:durableId="47FBF148"/>
  <w16cid:commentId w16cid:paraId="219950AB" w16cid:durableId="5D6D5696"/>
  <w16cid:commentId w16cid:paraId="11B8798E" w16cid:durableId="171D5741"/>
  <w16cid:commentId w16cid:paraId="6D1BF05C" w16cid:durableId="712DED33"/>
  <w16cid:commentId w16cid:paraId="63E0E6F7" w16cid:durableId="667B58C6"/>
  <w16cid:commentId w16cid:paraId="46098126" w16cid:durableId="0E113F6E"/>
  <w16cid:commentId w16cid:paraId="75AC6C76" w16cid:durableId="3F0CBC5E"/>
  <w16cid:commentId w16cid:paraId="72C9ED04" w16cid:durableId="07ED89A5"/>
  <w16cid:commentId w16cid:paraId="47969FEC" w16cid:durableId="225386C3"/>
  <w16cid:commentId w16cid:paraId="7882091B" w16cid:durableId="099CA258"/>
  <w16cid:commentId w16cid:paraId="2FA451FC" w16cid:durableId="4890B77E"/>
  <w16cid:commentId w16cid:paraId="4DEA1014" w16cid:durableId="0FEA0643"/>
  <w16cid:commentId w16cid:paraId="2777BFCF" w16cid:durableId="58C233CF"/>
  <w16cid:commentId w16cid:paraId="38063B4C" w16cid:durableId="52E2A8E1"/>
  <w16cid:commentId w16cid:paraId="621D96F1" w16cid:durableId="4F8C5266"/>
  <w16cid:commentId w16cid:paraId="24348E91" w16cid:durableId="44B76A83"/>
  <w16cid:commentId w16cid:paraId="0F4E238D" w16cid:durableId="7DC24BC1"/>
  <w16cid:commentId w16cid:paraId="43B687A7" w16cid:durableId="467C3414"/>
  <w16cid:commentId w16cid:paraId="2BF9E141" w16cid:durableId="6CE7AA32"/>
  <w16cid:commentId w16cid:paraId="4C7EEAAF" w16cid:durableId="2A9F3325"/>
  <w16cid:commentId w16cid:paraId="3BFE0D52" w16cid:durableId="1D4C299F"/>
  <w16cid:commentId w16cid:paraId="1C51E326" w16cid:durableId="6901EFC0"/>
  <w16cid:commentId w16cid:paraId="0C83F2EA" w16cid:durableId="1B65EB47"/>
  <w16cid:commentId w16cid:paraId="3D0AA0C6" w16cid:durableId="25FC9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904E0" w14:textId="77777777" w:rsidR="00C91B73" w:rsidRDefault="00C91B73" w:rsidP="00D668F3">
      <w:r>
        <w:separator/>
      </w:r>
    </w:p>
  </w:endnote>
  <w:endnote w:type="continuationSeparator" w:id="0">
    <w:p w14:paraId="0A7B0DAC" w14:textId="77777777" w:rsidR="00C91B73" w:rsidRDefault="00C91B73" w:rsidP="00D66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RTVWWT+TimesNewRomanPSM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524275"/>
      <w:docPartObj>
        <w:docPartGallery w:val="Page Numbers (Bottom of Page)"/>
        <w:docPartUnique/>
      </w:docPartObj>
    </w:sdtPr>
    <w:sdtContent>
      <w:p w14:paraId="05B97985" w14:textId="77777777" w:rsidR="00D668F3" w:rsidRDefault="008B176F" w:rsidP="00D668F3">
        <w:pPr>
          <w:pStyle w:val="Piedepgina"/>
          <w:tabs>
            <w:tab w:val="clear" w:pos="4252"/>
            <w:tab w:val="clear" w:pos="8504"/>
          </w:tabs>
        </w:pPr>
        <w:r w:rsidRPr="00E214C4">
          <w:rPr>
            <w:rFonts w:cs="Times New Roman"/>
            <w:color w:val="7F7F7F" w:themeColor="text1" w:themeTint="80"/>
            <w:sz w:val="20"/>
            <w:szCs w:val="20"/>
          </w:rPr>
          <w:t>https://doi.org/</w:t>
        </w:r>
        <w:r w:rsidR="00B34403">
          <w:rPr>
            <w:rFonts w:cs="Times New Roman"/>
            <w:color w:val="7F7F7F" w:themeColor="text1" w:themeTint="80"/>
            <w:sz w:val="20"/>
            <w:szCs w:val="20"/>
          </w:rPr>
          <w:t>00000000</w:t>
        </w:r>
        <w:r w:rsidRPr="009727AA">
          <w:rPr>
            <w:rFonts w:cs="Times New Roman"/>
            <w:color w:val="7F7F7F" w:themeColor="text1" w:themeTint="80"/>
            <w:sz w:val="20"/>
            <w:szCs w:val="20"/>
          </w:rPr>
          <w:tab/>
        </w:r>
        <w:r>
          <w:rPr>
            <w:rFonts w:cs="Times New Roman"/>
            <w:color w:val="7F7F7F" w:themeColor="text1" w:themeTint="80"/>
            <w:sz w:val="20"/>
            <w:szCs w:val="20"/>
          </w:rPr>
          <w:tab/>
          <w:t xml:space="preserve">     </w:t>
        </w:r>
        <w:r w:rsidRPr="00DC0125">
          <w:rPr>
            <w:rFonts w:cs="Times New Roman"/>
            <w:color w:val="7F7F7F" w:themeColor="text1" w:themeTint="80"/>
            <w:sz w:val="20"/>
            <w:szCs w:val="20"/>
          </w:rPr>
          <w:t xml:space="preserve">              </w:t>
        </w:r>
        <w:r>
          <w:rPr>
            <w:rFonts w:cs="Times New Roman"/>
            <w:color w:val="7F7F7F" w:themeColor="text1" w:themeTint="80"/>
            <w:sz w:val="20"/>
            <w:szCs w:val="20"/>
          </w:rPr>
          <w:t xml:space="preserve">  </w:t>
        </w:r>
        <w:r w:rsidRPr="00DC0125">
          <w:rPr>
            <w:rFonts w:cs="Times New Roman"/>
            <w:color w:val="7F7F7F" w:themeColor="text1" w:themeTint="80"/>
            <w:sz w:val="20"/>
            <w:szCs w:val="20"/>
          </w:rPr>
          <w:t xml:space="preserve">      </w:t>
        </w:r>
        <w:r w:rsidRPr="00DC0125">
          <w:rPr>
            <w:rFonts w:cs="Times New Roman"/>
            <w:noProof/>
            <w:color w:val="7F7F7F" w:themeColor="text1" w:themeTint="80"/>
            <w:sz w:val="20"/>
            <w:szCs w:val="20"/>
          </w:rPr>
          <w:drawing>
            <wp:inline distT="0" distB="0" distL="0" distR="0" wp14:anchorId="0C072EBD" wp14:editId="6C9AEC48">
              <wp:extent cx="792000" cy="148384"/>
              <wp:effectExtent l="0" t="0" r="0" b="4445"/>
              <wp:docPr id="2122662491" name="Imagen 2" descr="Icono&#10;&#10;El contenido generado por IA puede ser incorrec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16031" name="Imagen 2" descr="Icono&#10;&#10;El contenido generado por IA puede ser incorrect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92000" cy="148384"/>
                      </a:xfrm>
                      <a:prstGeom prst="rect">
                        <a:avLst/>
                      </a:prstGeom>
                    </pic:spPr>
                  </pic:pic>
                </a:graphicData>
              </a:graphic>
            </wp:inline>
          </w:drawing>
        </w:r>
        <w:r w:rsidRPr="00DC0125">
          <w:rPr>
            <w:rFonts w:cs="Times New Roman"/>
            <w:color w:val="7F7F7F" w:themeColor="text1" w:themeTint="80"/>
            <w:sz w:val="20"/>
            <w:szCs w:val="20"/>
          </w:rPr>
          <w:t xml:space="preserve">                             </w:t>
        </w:r>
        <w:r>
          <w:rPr>
            <w:rFonts w:cs="Times New Roman"/>
            <w:color w:val="7F7F7F" w:themeColor="text1" w:themeTint="80"/>
            <w:sz w:val="20"/>
            <w:szCs w:val="20"/>
          </w:rPr>
          <w:t xml:space="preserve">                                      </w:t>
        </w:r>
        <w:r w:rsidRPr="00A62DEC">
          <w:rPr>
            <w:rFonts w:cs="Times New Roman"/>
          </w:rPr>
          <w:fldChar w:fldCharType="begin"/>
        </w:r>
        <w:r w:rsidRPr="00A62DEC">
          <w:rPr>
            <w:rFonts w:cs="Times New Roman"/>
          </w:rPr>
          <w:instrText>PAGE   \* MERGEFORMAT</w:instrText>
        </w:r>
        <w:r w:rsidRPr="00A62DEC">
          <w:rPr>
            <w:rFonts w:cs="Times New Roman"/>
          </w:rPr>
          <w:fldChar w:fldCharType="separate"/>
        </w:r>
        <w:r>
          <w:rPr>
            <w:rFonts w:cs="Times New Roman"/>
          </w:rPr>
          <w:t>9</w:t>
        </w:r>
        <w:r w:rsidRPr="00A62DEC">
          <w:rPr>
            <w:rFont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4421" w14:textId="77777777" w:rsidR="00C91B73" w:rsidRDefault="00C91B73" w:rsidP="00D668F3">
      <w:r>
        <w:separator/>
      </w:r>
    </w:p>
  </w:footnote>
  <w:footnote w:type="continuationSeparator" w:id="0">
    <w:p w14:paraId="3DFC7339" w14:textId="77777777" w:rsidR="00C91B73" w:rsidRDefault="00C91B73" w:rsidP="00D66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1F18" w14:textId="40A80564" w:rsidR="00A055B6" w:rsidRPr="00A62DEC" w:rsidRDefault="00A055B6" w:rsidP="00A055B6">
    <w:pPr>
      <w:pStyle w:val="Encabezado"/>
      <w:rPr>
        <w:rFonts w:eastAsia="Cambria"/>
        <w:b/>
        <w:color w:val="808080" w:themeColor="background1" w:themeShade="80"/>
        <w:sz w:val="16"/>
        <w:szCs w:val="16"/>
        <w:lang w:val="en-US"/>
      </w:rPr>
    </w:pPr>
    <w:r w:rsidRPr="00A62DEC">
      <w:rPr>
        <w:noProof/>
        <w:color w:val="808080" w:themeColor="background1" w:themeShade="80"/>
        <w:lang w:eastAsia="es-EC"/>
      </w:rPr>
      <w:drawing>
        <wp:anchor distT="0" distB="0" distL="114300" distR="114300" simplePos="0" relativeHeight="251660288" behindDoc="0" locked="0" layoutInCell="1" allowOverlap="1" wp14:anchorId="2F347FF0" wp14:editId="0C1CD3BC">
          <wp:simplePos x="0" y="0"/>
          <wp:positionH relativeFrom="column">
            <wp:posOffset>5168900</wp:posOffset>
          </wp:positionH>
          <wp:positionV relativeFrom="paragraph">
            <wp:posOffset>-300702</wp:posOffset>
          </wp:positionV>
          <wp:extent cx="1487805" cy="487680"/>
          <wp:effectExtent l="0" t="0" r="0" b="0"/>
          <wp:wrapThrough wrapText="bothSides">
            <wp:wrapPolygon edited="0">
              <wp:start x="553" y="1688"/>
              <wp:lineTo x="553" y="16875"/>
              <wp:lineTo x="1659" y="20250"/>
              <wp:lineTo x="3042" y="20250"/>
              <wp:lineTo x="3872" y="16875"/>
              <wp:lineTo x="21019" y="15188"/>
              <wp:lineTo x="21019" y="5906"/>
              <wp:lineTo x="4149" y="1688"/>
              <wp:lineTo x="553" y="1688"/>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487680"/>
                  </a:xfrm>
                  <a:prstGeom prst="rect">
                    <a:avLst/>
                  </a:prstGeom>
                  <a:noFill/>
                </pic:spPr>
              </pic:pic>
            </a:graphicData>
          </a:graphic>
          <wp14:sizeRelH relativeFrom="page">
            <wp14:pctWidth>0</wp14:pctWidth>
          </wp14:sizeRelH>
          <wp14:sizeRelV relativeFrom="page">
            <wp14:pctHeight>0</wp14:pctHeight>
          </wp14:sizeRelV>
        </wp:anchor>
      </w:drawing>
    </w:r>
    <w:r w:rsidRPr="00A5680C">
      <w:rPr>
        <w:rFonts w:eastAsia="Cambria"/>
        <w:b/>
        <w:i/>
        <w:noProof/>
        <w:color w:val="595959" w:themeColor="text1" w:themeTint="A6"/>
        <w:sz w:val="16"/>
        <w:szCs w:val="16"/>
      </w:rPr>
      <mc:AlternateContent>
        <mc:Choice Requires="wps">
          <w:drawing>
            <wp:anchor distT="0" distB="0" distL="114300" distR="114300" simplePos="0" relativeHeight="251659264" behindDoc="1" locked="0" layoutInCell="1" allowOverlap="1" wp14:anchorId="48F399F4" wp14:editId="44660A7F">
              <wp:simplePos x="0" y="0"/>
              <wp:positionH relativeFrom="column">
                <wp:posOffset>5975977</wp:posOffset>
              </wp:positionH>
              <wp:positionV relativeFrom="paragraph">
                <wp:posOffset>12700</wp:posOffset>
              </wp:positionV>
              <wp:extent cx="742950" cy="209550"/>
              <wp:effectExtent l="0" t="0" r="19050" b="19050"/>
              <wp:wrapNone/>
              <wp:docPr id="13" name="Cuadro de texto 13"/>
              <wp:cNvGraphicFramePr/>
              <a:graphic xmlns:a="http://schemas.openxmlformats.org/drawingml/2006/main">
                <a:graphicData uri="http://schemas.microsoft.com/office/word/2010/wordprocessingShape">
                  <wps:wsp>
                    <wps:cNvSpPr txBox="1"/>
                    <wps:spPr>
                      <a:xfrm>
                        <a:off x="0" y="0"/>
                        <a:ext cx="742950" cy="209550"/>
                      </a:xfrm>
                      <a:prstGeom prst="rect">
                        <a:avLst/>
                      </a:prstGeom>
                      <a:solidFill>
                        <a:schemeClr val="lt1"/>
                      </a:solidFill>
                      <a:ln w="6350">
                        <a:solidFill>
                          <a:schemeClr val="bg1"/>
                        </a:solidFill>
                      </a:ln>
                    </wps:spPr>
                    <wps:txbx>
                      <w:txbxContent>
                        <w:p w14:paraId="13F059F7" w14:textId="77777777" w:rsidR="00A055B6" w:rsidRPr="00A62DEC" w:rsidRDefault="00A055B6" w:rsidP="00A055B6">
                          <w:pPr>
                            <w:rPr>
                              <w:rFonts w:cs="Times New Roman"/>
                              <w:color w:val="808080" w:themeColor="background1" w:themeShade="80"/>
                            </w:rPr>
                          </w:pPr>
                          <w:r w:rsidRPr="00A62DEC">
                            <w:rPr>
                              <w:rFonts w:eastAsia="Cambria" w:cs="Times New Roman"/>
                              <w:b/>
                              <w:color w:val="808080" w:themeColor="background1" w:themeShade="80"/>
                              <w:sz w:val="12"/>
                              <w:szCs w:val="12"/>
                              <w:lang w:val="en-US"/>
                            </w:rPr>
                            <w:t>ISSN 2806-5638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F399F4" id="_x0000_t202" coordsize="21600,21600" o:spt="202" path="m,l,21600r21600,l21600,xe">
              <v:stroke joinstyle="miter"/>
              <v:path gradientshapeok="t" o:connecttype="rect"/>
            </v:shapetype>
            <v:shape id="Cuadro de texto 13" o:spid="_x0000_s1026" type="#_x0000_t202" style="position:absolute;left:0;text-align:left;margin-left:470.55pt;margin-top:1pt;width:58.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" fillcolor="white [3201]" strokecolor="white [3212]" strokeweight=".5pt">
              <v:textbox>
                <w:txbxContent>
                  <w:p w14:paraId="13F059F7" w14:textId="77777777" w:rsidR="00A055B6" w:rsidRPr="00A62DEC" w:rsidRDefault="00A055B6" w:rsidP="00A055B6">
                    <w:pPr>
                      <w:rPr>
                        <w:rFonts w:cs="Times New Roman"/>
                        <w:color w:val="808080" w:themeColor="background1" w:themeShade="80"/>
                      </w:rPr>
                    </w:pPr>
                    <w:r w:rsidRPr="00A62DEC">
                      <w:rPr>
                        <w:rFonts w:eastAsia="Cambria" w:cs="Times New Roman"/>
                        <w:b/>
                        <w:color w:val="808080" w:themeColor="background1" w:themeShade="80"/>
                        <w:sz w:val="12"/>
                        <w:szCs w:val="12"/>
                        <w:lang w:val="en-US"/>
                      </w:rPr>
                      <w:t>ISSN 2806-5638</w:t>
                    </w:r>
                  </w:p>
                </w:txbxContent>
              </v:textbox>
            </v:shape>
          </w:pict>
        </mc:Fallback>
      </mc:AlternateContent>
    </w:r>
    <w:r w:rsidRPr="00A62DEC">
      <w:rPr>
        <w:rFonts w:eastAsia="Cambria"/>
        <w:b/>
        <w:i/>
        <w:color w:val="808080" w:themeColor="background1" w:themeShade="80"/>
        <w:sz w:val="16"/>
        <w:szCs w:val="16"/>
        <w:lang w:val="en-US"/>
      </w:rPr>
      <w:t>South American Research Journal</w:t>
    </w:r>
    <w:r w:rsidRPr="00A62DEC">
      <w:rPr>
        <w:rFonts w:eastAsia="Cambria"/>
        <w:b/>
        <w:color w:val="808080" w:themeColor="background1" w:themeShade="80"/>
        <w:sz w:val="16"/>
        <w:szCs w:val="16"/>
        <w:lang w:val="en-US"/>
      </w:rPr>
      <w:t xml:space="preserve">, </w:t>
    </w:r>
    <w:r w:rsidR="004E4EC7">
      <w:rPr>
        <w:rFonts w:eastAsia="Cambria"/>
        <w:b/>
        <w:i/>
        <w:iCs/>
        <w:color w:val="808080" w:themeColor="background1" w:themeShade="80"/>
        <w:sz w:val="16"/>
        <w:szCs w:val="16"/>
        <w:lang w:val="en-US"/>
      </w:rPr>
      <w:t>#</w:t>
    </w:r>
    <w:r w:rsidRPr="00A62DEC">
      <w:rPr>
        <w:rFonts w:eastAsia="Cambria"/>
        <w:b/>
        <w:color w:val="808080" w:themeColor="background1" w:themeShade="80"/>
        <w:sz w:val="16"/>
        <w:szCs w:val="16"/>
        <w:lang w:val="en-US"/>
      </w:rPr>
      <w:t>(</w:t>
    </w:r>
    <w:r w:rsidR="004E4EC7">
      <w:rPr>
        <w:rFonts w:eastAsia="Cambria"/>
        <w:b/>
        <w:color w:val="808080" w:themeColor="background1" w:themeShade="80"/>
        <w:sz w:val="16"/>
        <w:szCs w:val="16"/>
        <w:lang w:val="en-US"/>
      </w:rPr>
      <w:t>#</w:t>
    </w:r>
    <w:r w:rsidRPr="00A62DEC">
      <w:rPr>
        <w:rFonts w:eastAsia="Cambria"/>
        <w:b/>
        <w:color w:val="808080" w:themeColor="background1" w:themeShade="80"/>
        <w:sz w:val="16"/>
        <w:szCs w:val="16"/>
        <w:lang w:val="en-US"/>
      </w:rPr>
      <w:t xml:space="preserve">), </w:t>
    </w:r>
    <w:r w:rsidR="004E4EC7">
      <w:rPr>
        <w:rFonts w:eastAsia="Cambria"/>
        <w:b/>
        <w:color w:val="808080" w:themeColor="background1" w:themeShade="80"/>
        <w:sz w:val="16"/>
        <w:szCs w:val="16"/>
        <w:lang w:val="en-US"/>
      </w:rPr>
      <w:t>#</w:t>
    </w:r>
    <w:r>
      <w:rPr>
        <w:rFonts w:eastAsia="Cambria"/>
        <w:b/>
        <w:color w:val="808080" w:themeColor="background1" w:themeShade="80"/>
        <w:sz w:val="16"/>
        <w:szCs w:val="16"/>
        <w:lang w:val="en-US"/>
      </w:rPr>
      <w:t>-</w:t>
    </w:r>
    <w:r w:rsidR="004E4EC7">
      <w:rPr>
        <w:rFonts w:eastAsia="Cambria"/>
        <w:b/>
        <w:color w:val="808080" w:themeColor="background1" w:themeShade="80"/>
        <w:sz w:val="16"/>
        <w:szCs w:val="16"/>
        <w:lang w:val="en-US"/>
      </w:rPr>
      <w:t>#</w:t>
    </w:r>
  </w:p>
  <w:p w14:paraId="14F64B37" w14:textId="653B0B75" w:rsidR="00A62DEC" w:rsidRPr="00A62DEC" w:rsidRDefault="00A055B6" w:rsidP="00114EA5">
    <w:pPr>
      <w:pStyle w:val="Encabezado"/>
      <w:spacing w:after="240"/>
      <w:rPr>
        <w:rFonts w:eastAsia="Cambria"/>
        <w:b/>
        <w:color w:val="808080" w:themeColor="background1" w:themeShade="80"/>
        <w:sz w:val="14"/>
        <w:szCs w:val="14"/>
        <w:lang w:val="en-US"/>
      </w:rPr>
    </w:pPr>
    <w:r w:rsidRPr="00A62DEC">
      <w:rPr>
        <w:rFonts w:ascii="RTVWWT+TimesNewRomanPSMT" w:hAnsi="RTVWWT+TimesNewRomanPSMT"/>
        <w:color w:val="808080" w:themeColor="background1" w:themeShade="80"/>
        <w:sz w:val="14"/>
        <w:szCs w:val="14"/>
        <w:lang w:val="en-US"/>
      </w:rPr>
      <w:t>https://www.sa-rj.net</w:t>
    </w:r>
    <w:r w:rsidRPr="0066766B">
      <w:rPr>
        <w:rFonts w:ascii="RTVWWT+TimesNewRomanPSMT" w:hAnsi="RTVWWT+TimesNewRomanPSMT"/>
        <w:color w:val="808080" w:themeColor="background1" w:themeShade="80"/>
        <w:sz w:val="14"/>
        <w:szCs w:val="14"/>
        <w:lang w:val="en-US"/>
      </w:rPr>
      <w:t>/index.php/sarj/article/view/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F43"/>
    <w:multiLevelType w:val="multilevel"/>
    <w:tmpl w:val="74EE321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15ED597B"/>
    <w:multiLevelType w:val="multilevel"/>
    <w:tmpl w:val="08643EB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658614C"/>
    <w:multiLevelType w:val="hybridMultilevel"/>
    <w:tmpl w:val="F2E0430A"/>
    <w:lvl w:ilvl="0" w:tplc="DC0C7704">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E803FE7"/>
    <w:multiLevelType w:val="hybridMultilevel"/>
    <w:tmpl w:val="70167B9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B5C2615"/>
    <w:multiLevelType w:val="multilevel"/>
    <w:tmpl w:val="54B8B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18F6CF8"/>
    <w:multiLevelType w:val="hybridMultilevel"/>
    <w:tmpl w:val="5D96A634"/>
    <w:lvl w:ilvl="0" w:tplc="DC0C7704">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1FA7616"/>
    <w:multiLevelType w:val="hybridMultilevel"/>
    <w:tmpl w:val="FB940252"/>
    <w:lvl w:ilvl="0" w:tplc="00F06D7E">
      <w:start w:val="1"/>
      <w:numFmt w:val="decimal"/>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7" w15:restartNumberingAfterBreak="0">
    <w:nsid w:val="35331607"/>
    <w:multiLevelType w:val="multilevel"/>
    <w:tmpl w:val="7846B79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3D68119F"/>
    <w:multiLevelType w:val="multilevel"/>
    <w:tmpl w:val="66123BE8"/>
    <w:lvl w:ilvl="0">
      <w:start w:val="1"/>
      <w:numFmt w:val="bullet"/>
      <w:lvlText w:val="●"/>
      <w:lvlJc w:val="left"/>
      <w:pPr>
        <w:ind w:left="-316" w:hanging="360"/>
      </w:pPr>
      <w:rPr>
        <w:rFonts w:ascii="Noto Sans" w:eastAsia="Noto Sans" w:hAnsi="Noto Sans" w:cs="Noto Sans"/>
      </w:rPr>
    </w:lvl>
    <w:lvl w:ilvl="1">
      <w:start w:val="1"/>
      <w:numFmt w:val="bullet"/>
      <w:lvlText w:val="●"/>
      <w:lvlJc w:val="left"/>
      <w:pPr>
        <w:ind w:left="404" w:hanging="360"/>
      </w:pPr>
      <w:rPr>
        <w:rFonts w:ascii="Noto Sans" w:eastAsia="Noto Sans" w:hAnsi="Noto Sans" w:cs="Noto Sans"/>
      </w:rPr>
    </w:lvl>
    <w:lvl w:ilvl="2">
      <w:start w:val="1"/>
      <w:numFmt w:val="bullet"/>
      <w:lvlText w:val="▪"/>
      <w:lvlJc w:val="left"/>
      <w:pPr>
        <w:ind w:left="1124" w:hanging="360"/>
      </w:pPr>
      <w:rPr>
        <w:rFonts w:ascii="Noto Sans" w:eastAsia="Noto Sans" w:hAnsi="Noto Sans" w:cs="Noto Sans"/>
      </w:rPr>
    </w:lvl>
    <w:lvl w:ilvl="3">
      <w:start w:val="1"/>
      <w:numFmt w:val="bullet"/>
      <w:lvlText w:val="●"/>
      <w:lvlJc w:val="left"/>
      <w:pPr>
        <w:ind w:left="1844" w:hanging="360"/>
      </w:pPr>
      <w:rPr>
        <w:rFonts w:ascii="Noto Sans" w:eastAsia="Noto Sans" w:hAnsi="Noto Sans" w:cs="Noto Sans"/>
      </w:rPr>
    </w:lvl>
    <w:lvl w:ilvl="4">
      <w:start w:val="1"/>
      <w:numFmt w:val="bullet"/>
      <w:lvlText w:val="o"/>
      <w:lvlJc w:val="left"/>
      <w:pPr>
        <w:ind w:left="2564" w:hanging="360"/>
      </w:pPr>
      <w:rPr>
        <w:rFonts w:ascii="Courier New" w:eastAsia="Courier New" w:hAnsi="Courier New" w:cs="Courier New"/>
      </w:rPr>
    </w:lvl>
    <w:lvl w:ilvl="5">
      <w:start w:val="1"/>
      <w:numFmt w:val="bullet"/>
      <w:lvlText w:val="▪"/>
      <w:lvlJc w:val="left"/>
      <w:pPr>
        <w:ind w:left="3284" w:hanging="360"/>
      </w:pPr>
      <w:rPr>
        <w:rFonts w:ascii="Noto Sans" w:eastAsia="Noto Sans" w:hAnsi="Noto Sans" w:cs="Noto Sans"/>
      </w:rPr>
    </w:lvl>
    <w:lvl w:ilvl="6">
      <w:start w:val="1"/>
      <w:numFmt w:val="bullet"/>
      <w:lvlText w:val="●"/>
      <w:lvlJc w:val="left"/>
      <w:pPr>
        <w:ind w:left="4004" w:hanging="360"/>
      </w:pPr>
      <w:rPr>
        <w:rFonts w:ascii="Noto Sans" w:eastAsia="Noto Sans" w:hAnsi="Noto Sans" w:cs="Noto Sans"/>
      </w:rPr>
    </w:lvl>
    <w:lvl w:ilvl="7">
      <w:start w:val="1"/>
      <w:numFmt w:val="bullet"/>
      <w:lvlText w:val="o"/>
      <w:lvlJc w:val="left"/>
      <w:pPr>
        <w:ind w:left="4724" w:hanging="360"/>
      </w:pPr>
      <w:rPr>
        <w:rFonts w:ascii="Courier New" w:eastAsia="Courier New" w:hAnsi="Courier New" w:cs="Courier New"/>
      </w:rPr>
    </w:lvl>
    <w:lvl w:ilvl="8">
      <w:start w:val="1"/>
      <w:numFmt w:val="bullet"/>
      <w:lvlText w:val="▪"/>
      <w:lvlJc w:val="left"/>
      <w:pPr>
        <w:ind w:left="5444" w:hanging="360"/>
      </w:pPr>
      <w:rPr>
        <w:rFonts w:ascii="Noto Sans" w:eastAsia="Noto Sans" w:hAnsi="Noto Sans" w:cs="Noto Sans"/>
      </w:rPr>
    </w:lvl>
  </w:abstractNum>
  <w:abstractNum w:abstractNumId="9" w15:restartNumberingAfterBreak="0">
    <w:nsid w:val="45993B2F"/>
    <w:multiLevelType w:val="multilevel"/>
    <w:tmpl w:val="8556A31C"/>
    <w:lvl w:ilvl="0">
      <w:start w:val="1"/>
      <w:numFmt w:val="bullet"/>
      <w:lvlText w:val="●"/>
      <w:lvlJc w:val="left"/>
      <w:pPr>
        <w:ind w:left="-316" w:hanging="360"/>
      </w:pPr>
      <w:rPr>
        <w:rFonts w:ascii="Noto Sans" w:eastAsia="Noto Sans" w:hAnsi="Noto Sans" w:cs="Noto Sans"/>
      </w:rPr>
    </w:lvl>
    <w:lvl w:ilvl="1">
      <w:start w:val="1"/>
      <w:numFmt w:val="bullet"/>
      <w:lvlText w:val="o"/>
      <w:lvlJc w:val="left"/>
      <w:pPr>
        <w:ind w:left="404" w:hanging="360"/>
      </w:pPr>
      <w:rPr>
        <w:rFonts w:ascii="Courier New" w:eastAsia="Courier New" w:hAnsi="Courier New" w:cs="Courier New"/>
      </w:rPr>
    </w:lvl>
    <w:lvl w:ilvl="2">
      <w:start w:val="1"/>
      <w:numFmt w:val="bullet"/>
      <w:lvlText w:val="▪"/>
      <w:lvlJc w:val="left"/>
      <w:pPr>
        <w:ind w:left="1124" w:hanging="360"/>
      </w:pPr>
      <w:rPr>
        <w:rFonts w:ascii="Noto Sans" w:eastAsia="Noto Sans" w:hAnsi="Noto Sans" w:cs="Noto Sans"/>
      </w:rPr>
    </w:lvl>
    <w:lvl w:ilvl="3">
      <w:start w:val="1"/>
      <w:numFmt w:val="bullet"/>
      <w:lvlText w:val="●"/>
      <w:lvlJc w:val="left"/>
      <w:pPr>
        <w:ind w:left="1844" w:hanging="360"/>
      </w:pPr>
      <w:rPr>
        <w:rFonts w:ascii="Noto Sans" w:eastAsia="Noto Sans" w:hAnsi="Noto Sans" w:cs="Noto Sans"/>
      </w:rPr>
    </w:lvl>
    <w:lvl w:ilvl="4">
      <w:start w:val="1"/>
      <w:numFmt w:val="bullet"/>
      <w:lvlText w:val="o"/>
      <w:lvlJc w:val="left"/>
      <w:pPr>
        <w:ind w:left="2564" w:hanging="360"/>
      </w:pPr>
      <w:rPr>
        <w:rFonts w:ascii="Courier New" w:eastAsia="Courier New" w:hAnsi="Courier New" w:cs="Courier New"/>
      </w:rPr>
    </w:lvl>
    <w:lvl w:ilvl="5">
      <w:start w:val="1"/>
      <w:numFmt w:val="bullet"/>
      <w:lvlText w:val="▪"/>
      <w:lvlJc w:val="left"/>
      <w:pPr>
        <w:ind w:left="3284" w:hanging="360"/>
      </w:pPr>
      <w:rPr>
        <w:rFonts w:ascii="Noto Sans" w:eastAsia="Noto Sans" w:hAnsi="Noto Sans" w:cs="Noto Sans"/>
      </w:rPr>
    </w:lvl>
    <w:lvl w:ilvl="6">
      <w:start w:val="1"/>
      <w:numFmt w:val="bullet"/>
      <w:lvlText w:val="●"/>
      <w:lvlJc w:val="left"/>
      <w:pPr>
        <w:ind w:left="4004" w:hanging="360"/>
      </w:pPr>
      <w:rPr>
        <w:rFonts w:ascii="Noto Sans" w:eastAsia="Noto Sans" w:hAnsi="Noto Sans" w:cs="Noto Sans"/>
      </w:rPr>
    </w:lvl>
    <w:lvl w:ilvl="7">
      <w:start w:val="1"/>
      <w:numFmt w:val="bullet"/>
      <w:lvlText w:val="o"/>
      <w:lvlJc w:val="left"/>
      <w:pPr>
        <w:ind w:left="4724" w:hanging="360"/>
      </w:pPr>
      <w:rPr>
        <w:rFonts w:ascii="Courier New" w:eastAsia="Courier New" w:hAnsi="Courier New" w:cs="Courier New"/>
      </w:rPr>
    </w:lvl>
    <w:lvl w:ilvl="8">
      <w:start w:val="1"/>
      <w:numFmt w:val="bullet"/>
      <w:lvlText w:val="▪"/>
      <w:lvlJc w:val="left"/>
      <w:pPr>
        <w:ind w:left="5444" w:hanging="360"/>
      </w:pPr>
      <w:rPr>
        <w:rFonts w:ascii="Noto Sans" w:eastAsia="Noto Sans" w:hAnsi="Noto Sans" w:cs="Noto Sans"/>
      </w:rPr>
    </w:lvl>
  </w:abstractNum>
  <w:abstractNum w:abstractNumId="10" w15:restartNumberingAfterBreak="0">
    <w:nsid w:val="54EF1B87"/>
    <w:multiLevelType w:val="multilevel"/>
    <w:tmpl w:val="8BE8C700"/>
    <w:lvl w:ilvl="0">
      <w:start w:val="1"/>
      <w:numFmt w:val="upperRoman"/>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1598" w:hanging="719"/>
      </w:pPr>
    </w:lvl>
    <w:lvl w:ilvl="3">
      <w:start w:val="1"/>
      <w:numFmt w:val="decimal"/>
      <w:lvlText w:val="%1.%2.%3.%4."/>
      <w:lvlJc w:val="left"/>
      <w:pPr>
        <w:ind w:left="1767" w:hanging="720"/>
      </w:pPr>
    </w:lvl>
    <w:lvl w:ilvl="4">
      <w:start w:val="1"/>
      <w:numFmt w:val="decimal"/>
      <w:lvlText w:val="%1.%2.%3.%4.%5."/>
      <w:lvlJc w:val="left"/>
      <w:pPr>
        <w:ind w:left="2296" w:hanging="1080"/>
      </w:pPr>
    </w:lvl>
    <w:lvl w:ilvl="5">
      <w:start w:val="1"/>
      <w:numFmt w:val="decimal"/>
      <w:lvlText w:val="%1.%2.%3.%4.%5.%6."/>
      <w:lvlJc w:val="left"/>
      <w:pPr>
        <w:ind w:left="2465" w:hanging="1080"/>
      </w:pPr>
    </w:lvl>
    <w:lvl w:ilvl="6">
      <w:start w:val="1"/>
      <w:numFmt w:val="decimal"/>
      <w:lvlText w:val="%1.%2.%3.%4.%5.%6.%7."/>
      <w:lvlJc w:val="left"/>
      <w:pPr>
        <w:ind w:left="2994" w:hanging="1440"/>
      </w:pPr>
    </w:lvl>
    <w:lvl w:ilvl="7">
      <w:start w:val="1"/>
      <w:numFmt w:val="decimal"/>
      <w:lvlText w:val="%1.%2.%3.%4.%5.%6.%7.%8."/>
      <w:lvlJc w:val="left"/>
      <w:pPr>
        <w:ind w:left="3163" w:hanging="1440"/>
      </w:pPr>
    </w:lvl>
    <w:lvl w:ilvl="8">
      <w:start w:val="1"/>
      <w:numFmt w:val="decimal"/>
      <w:lvlText w:val="%1.%2.%3.%4.%5.%6.%7.%8.%9."/>
      <w:lvlJc w:val="left"/>
      <w:pPr>
        <w:ind w:left="3692" w:hanging="1800"/>
      </w:pPr>
    </w:lvl>
  </w:abstractNum>
  <w:abstractNum w:abstractNumId="11" w15:restartNumberingAfterBreak="0">
    <w:nsid w:val="5BD072B7"/>
    <w:multiLevelType w:val="multilevel"/>
    <w:tmpl w:val="54DE5606"/>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2" w15:restartNumberingAfterBreak="0">
    <w:nsid w:val="66FE70D0"/>
    <w:multiLevelType w:val="hybridMultilevel"/>
    <w:tmpl w:val="4D0AE3F8"/>
    <w:lvl w:ilvl="0" w:tplc="DC0C7704">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6E1E49EB"/>
    <w:multiLevelType w:val="hybridMultilevel"/>
    <w:tmpl w:val="24702B8A"/>
    <w:lvl w:ilvl="0" w:tplc="DC0C7704">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7F53A081"/>
    <w:multiLevelType w:val="hybridMultilevel"/>
    <w:tmpl w:val="4656B7C4"/>
    <w:lvl w:ilvl="0" w:tplc="7E723B08">
      <w:start w:val="1"/>
      <w:numFmt w:val="decimal"/>
      <w:lvlText w:val="%1."/>
      <w:lvlJc w:val="left"/>
      <w:pPr>
        <w:ind w:left="720" w:hanging="360"/>
      </w:pPr>
    </w:lvl>
    <w:lvl w:ilvl="1" w:tplc="18FAB852">
      <w:start w:val="1"/>
      <w:numFmt w:val="lowerLetter"/>
      <w:lvlText w:val="%2."/>
      <w:lvlJc w:val="left"/>
      <w:pPr>
        <w:ind w:left="1440" w:hanging="360"/>
      </w:pPr>
    </w:lvl>
    <w:lvl w:ilvl="2" w:tplc="C032B8A6">
      <w:start w:val="1"/>
      <w:numFmt w:val="lowerRoman"/>
      <w:lvlText w:val="%3."/>
      <w:lvlJc w:val="right"/>
      <w:pPr>
        <w:ind w:left="2160" w:hanging="180"/>
      </w:pPr>
    </w:lvl>
    <w:lvl w:ilvl="3" w:tplc="3FCE1FCE">
      <w:start w:val="1"/>
      <w:numFmt w:val="decimal"/>
      <w:lvlText w:val="%4."/>
      <w:lvlJc w:val="left"/>
      <w:pPr>
        <w:ind w:left="2880" w:hanging="360"/>
      </w:pPr>
    </w:lvl>
    <w:lvl w:ilvl="4" w:tplc="AA144E82">
      <w:start w:val="1"/>
      <w:numFmt w:val="lowerLetter"/>
      <w:lvlText w:val="%5."/>
      <w:lvlJc w:val="left"/>
      <w:pPr>
        <w:ind w:left="3600" w:hanging="360"/>
      </w:pPr>
    </w:lvl>
    <w:lvl w:ilvl="5" w:tplc="43C40930">
      <w:start w:val="1"/>
      <w:numFmt w:val="lowerRoman"/>
      <w:lvlText w:val="%6."/>
      <w:lvlJc w:val="right"/>
      <w:pPr>
        <w:ind w:left="4320" w:hanging="180"/>
      </w:pPr>
    </w:lvl>
    <w:lvl w:ilvl="6" w:tplc="DF6CBBD6">
      <w:start w:val="1"/>
      <w:numFmt w:val="decimal"/>
      <w:lvlText w:val="%7."/>
      <w:lvlJc w:val="left"/>
      <w:pPr>
        <w:ind w:left="5040" w:hanging="360"/>
      </w:pPr>
    </w:lvl>
    <w:lvl w:ilvl="7" w:tplc="8976DF00">
      <w:start w:val="1"/>
      <w:numFmt w:val="lowerLetter"/>
      <w:lvlText w:val="%8."/>
      <w:lvlJc w:val="left"/>
      <w:pPr>
        <w:ind w:left="5760" w:hanging="360"/>
      </w:pPr>
    </w:lvl>
    <w:lvl w:ilvl="8" w:tplc="ADA88D6C">
      <w:start w:val="1"/>
      <w:numFmt w:val="lowerRoman"/>
      <w:lvlText w:val="%9."/>
      <w:lvlJc w:val="right"/>
      <w:pPr>
        <w:ind w:left="6480" w:hanging="180"/>
      </w:pPr>
    </w:lvl>
  </w:abstractNum>
  <w:num w:numId="1" w16cid:durableId="396512465">
    <w:abstractNumId w:val="14"/>
  </w:num>
  <w:num w:numId="2" w16cid:durableId="2007245206">
    <w:abstractNumId w:val="10"/>
  </w:num>
  <w:num w:numId="3" w16cid:durableId="360593972">
    <w:abstractNumId w:val="8"/>
  </w:num>
  <w:num w:numId="4" w16cid:durableId="1250119202">
    <w:abstractNumId w:val="4"/>
  </w:num>
  <w:num w:numId="5" w16cid:durableId="1256400877">
    <w:abstractNumId w:val="11"/>
  </w:num>
  <w:num w:numId="6" w16cid:durableId="595552599">
    <w:abstractNumId w:val="7"/>
  </w:num>
  <w:num w:numId="7" w16cid:durableId="852915136">
    <w:abstractNumId w:val="0"/>
  </w:num>
  <w:num w:numId="8" w16cid:durableId="1215002972">
    <w:abstractNumId w:val="1"/>
  </w:num>
  <w:num w:numId="9" w16cid:durableId="1430933565">
    <w:abstractNumId w:val="9"/>
  </w:num>
  <w:num w:numId="10" w16cid:durableId="1504667168">
    <w:abstractNumId w:val="3"/>
  </w:num>
  <w:num w:numId="11" w16cid:durableId="1956402519">
    <w:abstractNumId w:val="6"/>
  </w:num>
  <w:num w:numId="12" w16cid:durableId="63069087">
    <w:abstractNumId w:val="2"/>
  </w:num>
  <w:num w:numId="13" w16cid:durableId="1611401405">
    <w:abstractNumId w:val="5"/>
  </w:num>
  <w:num w:numId="14" w16cid:durableId="286275455">
    <w:abstractNumId w:val="13"/>
  </w:num>
  <w:num w:numId="15" w16cid:durableId="576287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19"/>
    <w:rsid w:val="000034A6"/>
    <w:rsid w:val="00004950"/>
    <w:rsid w:val="00011430"/>
    <w:rsid w:val="000139F3"/>
    <w:rsid w:val="00013B27"/>
    <w:rsid w:val="00015211"/>
    <w:rsid w:val="00023161"/>
    <w:rsid w:val="000322A0"/>
    <w:rsid w:val="0004228C"/>
    <w:rsid w:val="00045916"/>
    <w:rsid w:val="00047D2A"/>
    <w:rsid w:val="0006228A"/>
    <w:rsid w:val="00083F81"/>
    <w:rsid w:val="0008737B"/>
    <w:rsid w:val="000A3A21"/>
    <w:rsid w:val="000A6033"/>
    <w:rsid w:val="000A7B25"/>
    <w:rsid w:val="000D13E4"/>
    <w:rsid w:val="00103DA0"/>
    <w:rsid w:val="00104C23"/>
    <w:rsid w:val="00114EA5"/>
    <w:rsid w:val="001256A5"/>
    <w:rsid w:val="00131FF7"/>
    <w:rsid w:val="0017584F"/>
    <w:rsid w:val="001772F9"/>
    <w:rsid w:val="001967EE"/>
    <w:rsid w:val="001A3CB7"/>
    <w:rsid w:val="001B40BA"/>
    <w:rsid w:val="001B435D"/>
    <w:rsid w:val="001D526C"/>
    <w:rsid w:val="001E4CC4"/>
    <w:rsid w:val="001E5F8F"/>
    <w:rsid w:val="002109D1"/>
    <w:rsid w:val="002335E3"/>
    <w:rsid w:val="00237E52"/>
    <w:rsid w:val="002430DA"/>
    <w:rsid w:val="0025027F"/>
    <w:rsid w:val="0025193E"/>
    <w:rsid w:val="002620BB"/>
    <w:rsid w:val="00265CBF"/>
    <w:rsid w:val="0028077F"/>
    <w:rsid w:val="002A1F04"/>
    <w:rsid w:val="002A4BD6"/>
    <w:rsid w:val="002A6AE7"/>
    <w:rsid w:val="002C5FDD"/>
    <w:rsid w:val="002D5307"/>
    <w:rsid w:val="002D6121"/>
    <w:rsid w:val="002E5415"/>
    <w:rsid w:val="00322969"/>
    <w:rsid w:val="003474C6"/>
    <w:rsid w:val="00375573"/>
    <w:rsid w:val="003A01CE"/>
    <w:rsid w:val="003C0026"/>
    <w:rsid w:val="003D1373"/>
    <w:rsid w:val="003D2A69"/>
    <w:rsid w:val="003D3650"/>
    <w:rsid w:val="003D7CBE"/>
    <w:rsid w:val="003F1D2A"/>
    <w:rsid w:val="003F7D93"/>
    <w:rsid w:val="004012E2"/>
    <w:rsid w:val="0041134E"/>
    <w:rsid w:val="00413081"/>
    <w:rsid w:val="00414935"/>
    <w:rsid w:val="004208DA"/>
    <w:rsid w:val="0044230A"/>
    <w:rsid w:val="00442FBC"/>
    <w:rsid w:val="00450B00"/>
    <w:rsid w:val="00456280"/>
    <w:rsid w:val="0046476A"/>
    <w:rsid w:val="004A7F0F"/>
    <w:rsid w:val="004C7A68"/>
    <w:rsid w:val="004E2F21"/>
    <w:rsid w:val="004E34B0"/>
    <w:rsid w:val="004E429B"/>
    <w:rsid w:val="004E4EC7"/>
    <w:rsid w:val="004E5A40"/>
    <w:rsid w:val="004E6DF1"/>
    <w:rsid w:val="004F472B"/>
    <w:rsid w:val="004F5C84"/>
    <w:rsid w:val="004F7F22"/>
    <w:rsid w:val="00501F24"/>
    <w:rsid w:val="00514A73"/>
    <w:rsid w:val="00515BA6"/>
    <w:rsid w:val="00527FF4"/>
    <w:rsid w:val="00545825"/>
    <w:rsid w:val="00563815"/>
    <w:rsid w:val="005717B2"/>
    <w:rsid w:val="00582005"/>
    <w:rsid w:val="005873EB"/>
    <w:rsid w:val="00595BEF"/>
    <w:rsid w:val="00595EA6"/>
    <w:rsid w:val="005A2651"/>
    <w:rsid w:val="005B301A"/>
    <w:rsid w:val="005C2D69"/>
    <w:rsid w:val="005C55EF"/>
    <w:rsid w:val="005D370D"/>
    <w:rsid w:val="005E30DE"/>
    <w:rsid w:val="00606F75"/>
    <w:rsid w:val="006118DF"/>
    <w:rsid w:val="00612937"/>
    <w:rsid w:val="00616CE1"/>
    <w:rsid w:val="00620BC5"/>
    <w:rsid w:val="006215B9"/>
    <w:rsid w:val="00640AB3"/>
    <w:rsid w:val="00646DC1"/>
    <w:rsid w:val="00654942"/>
    <w:rsid w:val="00655B2D"/>
    <w:rsid w:val="00672FCC"/>
    <w:rsid w:val="006743A1"/>
    <w:rsid w:val="0069317E"/>
    <w:rsid w:val="0069361F"/>
    <w:rsid w:val="00693EB1"/>
    <w:rsid w:val="006D0008"/>
    <w:rsid w:val="006D28B2"/>
    <w:rsid w:val="006D4E74"/>
    <w:rsid w:val="006E265F"/>
    <w:rsid w:val="006F66B9"/>
    <w:rsid w:val="00707501"/>
    <w:rsid w:val="00707D5F"/>
    <w:rsid w:val="00710C23"/>
    <w:rsid w:val="0071473E"/>
    <w:rsid w:val="0071649C"/>
    <w:rsid w:val="007165F7"/>
    <w:rsid w:val="007319D3"/>
    <w:rsid w:val="00734578"/>
    <w:rsid w:val="00734BE8"/>
    <w:rsid w:val="00747A12"/>
    <w:rsid w:val="00753DE7"/>
    <w:rsid w:val="00755CF2"/>
    <w:rsid w:val="00756303"/>
    <w:rsid w:val="0076006E"/>
    <w:rsid w:val="00763C8C"/>
    <w:rsid w:val="007938F1"/>
    <w:rsid w:val="00795D97"/>
    <w:rsid w:val="0079668B"/>
    <w:rsid w:val="007B6542"/>
    <w:rsid w:val="007B7CAD"/>
    <w:rsid w:val="007C4854"/>
    <w:rsid w:val="007C5916"/>
    <w:rsid w:val="007C5CC3"/>
    <w:rsid w:val="007E034A"/>
    <w:rsid w:val="007E4624"/>
    <w:rsid w:val="007F0C39"/>
    <w:rsid w:val="00811EAD"/>
    <w:rsid w:val="008173FC"/>
    <w:rsid w:val="008349A1"/>
    <w:rsid w:val="008358D7"/>
    <w:rsid w:val="00861518"/>
    <w:rsid w:val="0086227C"/>
    <w:rsid w:val="008665F3"/>
    <w:rsid w:val="00877C81"/>
    <w:rsid w:val="00881C2D"/>
    <w:rsid w:val="00882226"/>
    <w:rsid w:val="00884127"/>
    <w:rsid w:val="008843C5"/>
    <w:rsid w:val="008910F7"/>
    <w:rsid w:val="008B176F"/>
    <w:rsid w:val="008E68FD"/>
    <w:rsid w:val="008F35C0"/>
    <w:rsid w:val="00903EE0"/>
    <w:rsid w:val="00907F9B"/>
    <w:rsid w:val="00915219"/>
    <w:rsid w:val="00916015"/>
    <w:rsid w:val="009247FB"/>
    <w:rsid w:val="0094065C"/>
    <w:rsid w:val="00961A37"/>
    <w:rsid w:val="009638CD"/>
    <w:rsid w:val="00964637"/>
    <w:rsid w:val="009662B2"/>
    <w:rsid w:val="009711CB"/>
    <w:rsid w:val="009C2989"/>
    <w:rsid w:val="009C2DF6"/>
    <w:rsid w:val="009C5E6E"/>
    <w:rsid w:val="009D5CCB"/>
    <w:rsid w:val="009E2B73"/>
    <w:rsid w:val="00A055B6"/>
    <w:rsid w:val="00A16BF4"/>
    <w:rsid w:val="00A16D66"/>
    <w:rsid w:val="00A410C4"/>
    <w:rsid w:val="00A504DB"/>
    <w:rsid w:val="00A57F6E"/>
    <w:rsid w:val="00A62DEC"/>
    <w:rsid w:val="00A6380D"/>
    <w:rsid w:val="00A64EB2"/>
    <w:rsid w:val="00AA5E3E"/>
    <w:rsid w:val="00AB3510"/>
    <w:rsid w:val="00AB5D2C"/>
    <w:rsid w:val="00AC23A6"/>
    <w:rsid w:val="00AD5104"/>
    <w:rsid w:val="00B05B43"/>
    <w:rsid w:val="00B17E3C"/>
    <w:rsid w:val="00B24BA4"/>
    <w:rsid w:val="00B31611"/>
    <w:rsid w:val="00B34403"/>
    <w:rsid w:val="00B3726B"/>
    <w:rsid w:val="00B47A62"/>
    <w:rsid w:val="00B569FA"/>
    <w:rsid w:val="00B7698C"/>
    <w:rsid w:val="00B82A8B"/>
    <w:rsid w:val="00B86B02"/>
    <w:rsid w:val="00B936E6"/>
    <w:rsid w:val="00BA19C4"/>
    <w:rsid w:val="00BB4319"/>
    <w:rsid w:val="00BD11F8"/>
    <w:rsid w:val="00BF3DC7"/>
    <w:rsid w:val="00BF4C68"/>
    <w:rsid w:val="00BF6B52"/>
    <w:rsid w:val="00BF6D4B"/>
    <w:rsid w:val="00C20950"/>
    <w:rsid w:val="00C25A1C"/>
    <w:rsid w:val="00C41FC1"/>
    <w:rsid w:val="00C43504"/>
    <w:rsid w:val="00C464C3"/>
    <w:rsid w:val="00C550FF"/>
    <w:rsid w:val="00C7546F"/>
    <w:rsid w:val="00C80AC3"/>
    <w:rsid w:val="00C83D7D"/>
    <w:rsid w:val="00C83DC4"/>
    <w:rsid w:val="00C91B73"/>
    <w:rsid w:val="00CA1E7E"/>
    <w:rsid w:val="00CA257B"/>
    <w:rsid w:val="00CA744E"/>
    <w:rsid w:val="00CB0045"/>
    <w:rsid w:val="00CB13EC"/>
    <w:rsid w:val="00CD3135"/>
    <w:rsid w:val="00CE2570"/>
    <w:rsid w:val="00CE514E"/>
    <w:rsid w:val="00D20FDF"/>
    <w:rsid w:val="00D26A2C"/>
    <w:rsid w:val="00D33EDC"/>
    <w:rsid w:val="00D44A12"/>
    <w:rsid w:val="00D642F1"/>
    <w:rsid w:val="00D668F3"/>
    <w:rsid w:val="00D72314"/>
    <w:rsid w:val="00D91ED7"/>
    <w:rsid w:val="00D920CA"/>
    <w:rsid w:val="00D94474"/>
    <w:rsid w:val="00DA71C5"/>
    <w:rsid w:val="00DB197B"/>
    <w:rsid w:val="00DB2A2B"/>
    <w:rsid w:val="00DB64DC"/>
    <w:rsid w:val="00DD2C89"/>
    <w:rsid w:val="00DF4C1B"/>
    <w:rsid w:val="00E0742C"/>
    <w:rsid w:val="00E07821"/>
    <w:rsid w:val="00E17913"/>
    <w:rsid w:val="00E24628"/>
    <w:rsid w:val="00E6571F"/>
    <w:rsid w:val="00E70BFA"/>
    <w:rsid w:val="00E7285F"/>
    <w:rsid w:val="00E73AE9"/>
    <w:rsid w:val="00E91C2F"/>
    <w:rsid w:val="00E9526B"/>
    <w:rsid w:val="00EA0AAC"/>
    <w:rsid w:val="00EA6495"/>
    <w:rsid w:val="00EB6DC7"/>
    <w:rsid w:val="00EB7ACE"/>
    <w:rsid w:val="00EC15F2"/>
    <w:rsid w:val="00EC1939"/>
    <w:rsid w:val="00ED188A"/>
    <w:rsid w:val="00ED3766"/>
    <w:rsid w:val="00ED550C"/>
    <w:rsid w:val="00EF58C8"/>
    <w:rsid w:val="00F03952"/>
    <w:rsid w:val="00F0508A"/>
    <w:rsid w:val="00F06CED"/>
    <w:rsid w:val="00F12356"/>
    <w:rsid w:val="00F12581"/>
    <w:rsid w:val="00F26347"/>
    <w:rsid w:val="00F40DB6"/>
    <w:rsid w:val="00F810BC"/>
    <w:rsid w:val="00F812CF"/>
    <w:rsid w:val="00F91244"/>
    <w:rsid w:val="00F94557"/>
    <w:rsid w:val="00F977E2"/>
    <w:rsid w:val="00FA4F14"/>
    <w:rsid w:val="00FA65EC"/>
    <w:rsid w:val="00FC2ED7"/>
    <w:rsid w:val="00FD14E2"/>
    <w:rsid w:val="00FD5414"/>
    <w:rsid w:val="00FD6C1A"/>
    <w:rsid w:val="00FE6D4F"/>
    <w:rsid w:val="00FF3E2D"/>
    <w:rsid w:val="00FF4B2D"/>
    <w:rsid w:val="0892BDBE"/>
    <w:rsid w:val="24CF1551"/>
    <w:rsid w:val="25E2A959"/>
    <w:rsid w:val="2C531618"/>
    <w:rsid w:val="3755BACF"/>
    <w:rsid w:val="39285E64"/>
    <w:rsid w:val="428480F4"/>
    <w:rsid w:val="45E6BC37"/>
    <w:rsid w:val="5B163943"/>
    <w:rsid w:val="669FAE3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BA4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19"/>
    <w:pPr>
      <w:spacing w:after="0" w:line="240" w:lineRule="auto"/>
      <w:jc w:val="both"/>
    </w:pPr>
    <w:rPr>
      <w:rFonts w:ascii="Times New Roman" w:eastAsiaTheme="minorEastAsia" w:hAnsi="Times New Roman"/>
      <w:color w:val="000000"/>
      <w:sz w:val="24"/>
      <w:lang w:val="es-ES" w:eastAsia="es-ES"/>
    </w:rPr>
  </w:style>
  <w:style w:type="paragraph" w:styleId="Ttulo1">
    <w:name w:val="heading 1"/>
    <w:basedOn w:val="Normal"/>
    <w:next w:val="Normal"/>
    <w:link w:val="Ttulo1Car"/>
    <w:uiPriority w:val="9"/>
    <w:qFormat/>
    <w:rsid w:val="00BB4319"/>
    <w:pPr>
      <w:keepNext/>
      <w:keepLines/>
      <w:spacing w:before="240" w:line="360" w:lineRule="auto"/>
      <w:outlineLvl w:val="0"/>
    </w:pPr>
    <w:rPr>
      <w:rFonts w:asciiTheme="majorHAnsi" w:eastAsiaTheme="majorEastAsia" w:hAnsiTheme="majorHAnsi" w:cstheme="majorBidi"/>
      <w:b/>
      <w:szCs w:val="32"/>
      <w:lang w:val="es-ES_tradnl" w:eastAsia="es-MX"/>
    </w:rPr>
  </w:style>
  <w:style w:type="paragraph" w:styleId="Ttulo2">
    <w:name w:val="heading 2"/>
    <w:basedOn w:val="Normal"/>
    <w:next w:val="Normal"/>
    <w:link w:val="Ttulo2Car"/>
    <w:uiPriority w:val="9"/>
    <w:unhideWhenUsed/>
    <w:qFormat/>
    <w:rsid w:val="00BB4319"/>
    <w:pPr>
      <w:keepNext/>
      <w:keepLines/>
      <w:spacing w:before="40"/>
      <w:outlineLvl w:val="1"/>
    </w:pPr>
    <w:rPr>
      <w:rFonts w:asciiTheme="majorHAnsi" w:eastAsiaTheme="majorEastAsia" w:hAnsiTheme="majorHAnsi" w:cstheme="majorBidi"/>
      <w:color w:val="2F5496" w:themeColor="accent1" w:themeShade="BF"/>
      <w:sz w:val="26"/>
      <w:szCs w:val="2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4319"/>
    <w:rPr>
      <w:rFonts w:asciiTheme="majorHAnsi" w:eastAsiaTheme="majorEastAsia" w:hAnsiTheme="majorHAnsi" w:cstheme="majorBidi"/>
      <w:b/>
      <w:sz w:val="24"/>
      <w:szCs w:val="32"/>
      <w:lang w:val="es-ES_tradnl" w:eastAsia="es-MX"/>
    </w:rPr>
  </w:style>
  <w:style w:type="character" w:customStyle="1" w:styleId="Ttulo2Car">
    <w:name w:val="Título 2 Car"/>
    <w:basedOn w:val="Fuentedeprrafopredeter"/>
    <w:link w:val="Ttulo2"/>
    <w:uiPriority w:val="9"/>
    <w:rsid w:val="00BB4319"/>
    <w:rPr>
      <w:rFonts w:asciiTheme="majorHAnsi" w:eastAsiaTheme="majorEastAsia" w:hAnsiTheme="majorHAnsi" w:cstheme="majorBidi"/>
      <w:color w:val="2F5496" w:themeColor="accent1" w:themeShade="BF"/>
      <w:sz w:val="26"/>
      <w:szCs w:val="26"/>
      <w:lang w:val="es-ES" w:eastAsia="es-MX"/>
    </w:rPr>
  </w:style>
  <w:style w:type="character" w:customStyle="1" w:styleId="Arial14Negrita">
    <w:name w:val="Arial 14 Negrita"/>
    <w:basedOn w:val="Fuentedeprrafopredeter"/>
    <w:uiPriority w:val="1"/>
    <w:rsid w:val="00BB4319"/>
    <w:rPr>
      <w:rFonts w:ascii="Arial" w:hAnsi="Arial"/>
      <w:b/>
      <w:sz w:val="28"/>
    </w:rPr>
  </w:style>
  <w:style w:type="character" w:customStyle="1" w:styleId="Arial12Negrita">
    <w:name w:val="Arial 12 Negrita"/>
    <w:basedOn w:val="Fuentedeprrafopredeter"/>
    <w:uiPriority w:val="1"/>
    <w:rsid w:val="00BB4319"/>
    <w:rPr>
      <w:rFonts w:ascii="Arial" w:hAnsi="Arial"/>
      <w:b/>
      <w:sz w:val="24"/>
    </w:rPr>
  </w:style>
  <w:style w:type="character" w:styleId="Hipervnculo">
    <w:name w:val="Hyperlink"/>
    <w:basedOn w:val="Fuentedeprrafopredeter"/>
    <w:uiPriority w:val="99"/>
    <w:unhideWhenUsed/>
    <w:rsid w:val="00DB197B"/>
    <w:rPr>
      <w:color w:val="0563C1" w:themeColor="hyperlink"/>
      <w:u w:val="single"/>
    </w:rPr>
  </w:style>
  <w:style w:type="character" w:styleId="Mencinsinresolver">
    <w:name w:val="Unresolved Mention"/>
    <w:basedOn w:val="Fuentedeprrafopredeter"/>
    <w:uiPriority w:val="99"/>
    <w:semiHidden/>
    <w:unhideWhenUsed/>
    <w:rsid w:val="00DB197B"/>
    <w:rPr>
      <w:color w:val="605E5C"/>
      <w:shd w:val="clear" w:color="auto" w:fill="E1DFDD"/>
    </w:rPr>
  </w:style>
  <w:style w:type="paragraph" w:styleId="Prrafodelista">
    <w:name w:val="List Paragraph"/>
    <w:basedOn w:val="Normal"/>
    <w:uiPriority w:val="34"/>
    <w:qFormat/>
    <w:rsid w:val="00DB197B"/>
    <w:pPr>
      <w:ind w:left="720"/>
      <w:contextualSpacing/>
    </w:pPr>
  </w:style>
  <w:style w:type="paragraph" w:styleId="Encabezado">
    <w:name w:val="header"/>
    <w:basedOn w:val="Normal"/>
    <w:link w:val="EncabezadoCar"/>
    <w:uiPriority w:val="99"/>
    <w:unhideWhenUsed/>
    <w:rsid w:val="00D668F3"/>
    <w:pPr>
      <w:tabs>
        <w:tab w:val="center" w:pos="4252"/>
        <w:tab w:val="right" w:pos="8504"/>
      </w:tabs>
    </w:pPr>
  </w:style>
  <w:style w:type="character" w:customStyle="1" w:styleId="EncabezadoCar">
    <w:name w:val="Encabezado Car"/>
    <w:basedOn w:val="Fuentedeprrafopredeter"/>
    <w:link w:val="Encabezado"/>
    <w:uiPriority w:val="99"/>
    <w:rsid w:val="00D668F3"/>
    <w:rPr>
      <w:rFonts w:eastAsiaTheme="minorEastAsia"/>
      <w:lang w:val="es-ES" w:eastAsia="es-ES"/>
    </w:rPr>
  </w:style>
  <w:style w:type="paragraph" w:styleId="Piedepgina">
    <w:name w:val="footer"/>
    <w:basedOn w:val="Normal"/>
    <w:link w:val="PiedepginaCar"/>
    <w:uiPriority w:val="99"/>
    <w:unhideWhenUsed/>
    <w:rsid w:val="00D668F3"/>
    <w:pPr>
      <w:tabs>
        <w:tab w:val="center" w:pos="4252"/>
        <w:tab w:val="right" w:pos="8504"/>
      </w:tabs>
    </w:pPr>
  </w:style>
  <w:style w:type="character" w:customStyle="1" w:styleId="PiedepginaCar">
    <w:name w:val="Pie de página Car"/>
    <w:basedOn w:val="Fuentedeprrafopredeter"/>
    <w:link w:val="Piedepgina"/>
    <w:uiPriority w:val="99"/>
    <w:rsid w:val="00D668F3"/>
    <w:rPr>
      <w:rFonts w:eastAsiaTheme="minorEastAsia"/>
      <w:lang w:val="es-ES" w:eastAsia="es-ES"/>
    </w:rPr>
  </w:style>
  <w:style w:type="table" w:styleId="Tablaconcuadrcula">
    <w:name w:val="Table Grid"/>
    <w:basedOn w:val="Tablanormal"/>
    <w:uiPriority w:val="39"/>
    <w:rsid w:val="0023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5">
    <w:name w:val="Grid Table 5 Dark Accent 5"/>
    <w:basedOn w:val="Tablanormal"/>
    <w:uiPriority w:val="50"/>
    <w:rsid w:val="007C591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1">
    <w:name w:val="Grid Table 5 Dark Accent 1"/>
    <w:basedOn w:val="Tablanormal"/>
    <w:uiPriority w:val="50"/>
    <w:rsid w:val="00F812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clara">
    <w:name w:val="Grid Table Light"/>
    <w:basedOn w:val="Tablanormal"/>
    <w:uiPriority w:val="40"/>
    <w:rsid w:val="00C25A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2">
    <w:name w:val="Plain Table 2"/>
    <w:basedOn w:val="Tablanormal"/>
    <w:uiPriority w:val="42"/>
    <w:rsid w:val="00C25A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semiHidden/>
    <w:unhideWhenUsed/>
    <w:rsid w:val="004F7F22"/>
  </w:style>
  <w:style w:type="paragraph" w:styleId="Ttulo">
    <w:name w:val="Title"/>
    <w:basedOn w:val="Normal"/>
    <w:next w:val="Normal"/>
    <w:link w:val="TtuloCar"/>
    <w:uiPriority w:val="10"/>
    <w:qFormat/>
    <w:rsid w:val="00E6571F"/>
    <w:pPr>
      <w:keepNext/>
      <w:spacing w:after="160"/>
      <w:contextualSpacing/>
    </w:pPr>
    <w:rPr>
      <w:rFonts w:asciiTheme="majorHAnsi" w:eastAsiaTheme="majorEastAsia" w:hAnsiTheme="majorHAnsi" w:cstheme="majorBidi"/>
      <w:b/>
      <w:spacing w:val="-10"/>
      <w:kern w:val="28"/>
      <w:sz w:val="32"/>
      <w:szCs w:val="56"/>
    </w:rPr>
  </w:style>
  <w:style w:type="character" w:customStyle="1" w:styleId="TtuloCar">
    <w:name w:val="Título Car"/>
    <w:basedOn w:val="Fuentedeprrafopredeter"/>
    <w:link w:val="Ttulo"/>
    <w:uiPriority w:val="10"/>
    <w:rsid w:val="00E6571F"/>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iPriority w:val="35"/>
    <w:unhideWhenUsed/>
    <w:qFormat/>
    <w:rsid w:val="00450B00"/>
    <w:rPr>
      <w:rFonts w:eastAsiaTheme="minorHAnsi"/>
      <w:i/>
      <w:iCs/>
      <w:color w:val="44546A" w:themeColor="text2"/>
      <w:sz w:val="18"/>
      <w:szCs w:val="18"/>
      <w:lang w:val="es-EC" w:eastAsia="en-US"/>
    </w:rPr>
  </w:style>
  <w:style w:type="paragraph" w:customStyle="1" w:styleId="paragraph">
    <w:name w:val="paragraph"/>
    <w:basedOn w:val="Normal"/>
    <w:rsid w:val="00DB64DC"/>
    <w:pPr>
      <w:spacing w:before="100" w:beforeAutospacing="1" w:after="100" w:afterAutospacing="1"/>
    </w:pPr>
    <w:rPr>
      <w:rFonts w:eastAsia="Times New Roman" w:cs="Times New Roman"/>
      <w:szCs w:val="24"/>
      <w:lang w:val="es-EC" w:eastAsia="es-EC"/>
    </w:rPr>
  </w:style>
  <w:style w:type="character" w:customStyle="1" w:styleId="normaltextrun">
    <w:name w:val="normaltextrun"/>
    <w:basedOn w:val="Fuentedeprrafopredeter"/>
    <w:rsid w:val="00DB64DC"/>
  </w:style>
  <w:style w:type="character" w:customStyle="1" w:styleId="eop">
    <w:name w:val="eop"/>
    <w:basedOn w:val="Fuentedeprrafopredeter"/>
    <w:rsid w:val="00DB64DC"/>
  </w:style>
  <w:style w:type="paragraph" w:styleId="Sinespaciado">
    <w:name w:val="No Spacing"/>
    <w:uiPriority w:val="1"/>
    <w:qFormat/>
    <w:rsid w:val="004F472B"/>
    <w:pPr>
      <w:spacing w:after="0" w:line="240" w:lineRule="auto"/>
    </w:pPr>
    <w:rPr>
      <w:rFonts w:eastAsiaTheme="minorEastAsia"/>
      <w:lang w:val="es-ES" w:eastAsia="es-ES"/>
    </w:rPr>
  </w:style>
  <w:style w:type="character" w:styleId="Nmerodelnea">
    <w:name w:val="line number"/>
    <w:basedOn w:val="Fuentedeprrafopredeter"/>
    <w:uiPriority w:val="99"/>
    <w:semiHidden/>
    <w:unhideWhenUsed/>
    <w:rsid w:val="002620BB"/>
  </w:style>
  <w:style w:type="paragraph" w:customStyle="1" w:styleId="SARJTtuloingls">
    <w:name w:val="SARJ Título inglés"/>
    <w:pPr>
      <w:keepNext/>
      <w:spacing w:line="240" w:lineRule="auto"/>
      <w:jc w:val="both"/>
    </w:pPr>
    <w:rPr>
      <w:rFonts w:ascii="Times New Roman" w:hAnsi="Times New Roman"/>
      <w:b/>
      <w:i/>
      <w:color w:val="000000"/>
      <w:sz w:val="28"/>
    </w:rPr>
  </w:style>
  <w:style w:type="paragraph" w:customStyle="1" w:styleId="SARJSeccin">
    <w:name w:val="SARJ Sección"/>
    <w:next w:val="SARJPrimerprrafo"/>
    <w:pPr>
      <w:keepNext/>
      <w:spacing w:before="200" w:after="80" w:line="240" w:lineRule="auto"/>
      <w:jc w:val="center"/>
    </w:pPr>
    <w:rPr>
      <w:rFonts w:ascii="Times New Roman" w:hAnsi="Times New Roman"/>
      <w:b/>
      <w:color w:val="000000"/>
      <w:sz w:val="28"/>
    </w:rPr>
  </w:style>
  <w:style w:type="paragraph" w:customStyle="1" w:styleId="SARJSubttulo">
    <w:name w:val="SARJ Subtítulo"/>
    <w:next w:val="SARJPrimerprrafo"/>
    <w:pPr>
      <w:keepNext/>
      <w:spacing w:before="160" w:after="60" w:line="240" w:lineRule="auto"/>
    </w:pPr>
    <w:rPr>
      <w:rFonts w:ascii="Times New Roman" w:hAnsi="Times New Roman"/>
      <w:b/>
      <w:color w:val="000000"/>
      <w:sz w:val="26"/>
    </w:rPr>
  </w:style>
  <w:style w:type="paragraph" w:customStyle="1" w:styleId="SARJPrimerprrafo">
    <w:name w:val="SARJ Primer párrafo"/>
    <w:next w:val="SARJPrrafo"/>
    <w:pPr>
      <w:spacing w:after="0" w:line="240" w:lineRule="auto"/>
      <w:jc w:val="both"/>
    </w:pPr>
    <w:rPr>
      <w:rFonts w:ascii="Times New Roman" w:hAnsi="Times New Roman"/>
      <w:color w:val="000000"/>
      <w:sz w:val="24"/>
    </w:rPr>
  </w:style>
  <w:style w:type="paragraph" w:customStyle="1" w:styleId="SARJPrrafo">
    <w:name w:val="SARJ Párrafo"/>
    <w:pPr>
      <w:spacing w:after="0" w:line="240" w:lineRule="auto"/>
      <w:ind w:firstLine="420"/>
      <w:jc w:val="both"/>
    </w:pPr>
    <w:rPr>
      <w:rFonts w:ascii="Times New Roman" w:hAnsi="Times New Roman"/>
      <w:color w:val="000000"/>
      <w:sz w:val="24"/>
    </w:rPr>
  </w:style>
  <w:style w:type="paragraph" w:customStyle="1" w:styleId="SARJNmero">
    <w:name w:val="SARJ Número"/>
    <w:pPr>
      <w:keepNext/>
      <w:spacing w:after="0" w:line="240" w:lineRule="auto"/>
    </w:pPr>
    <w:rPr>
      <w:rFonts w:ascii="Times New Roman" w:hAnsi="Times New Roman"/>
      <w:b/>
      <w:color w:val="000000"/>
    </w:rPr>
  </w:style>
  <w:style w:type="paragraph" w:customStyle="1" w:styleId="SARJLeyenda">
    <w:name w:val="SARJ Leyenda"/>
    <w:pPr>
      <w:keepNext/>
      <w:spacing w:after="40" w:line="240" w:lineRule="auto"/>
    </w:pPr>
    <w:rPr>
      <w:rFonts w:ascii="Times New Roman" w:hAnsi="Times New Roman"/>
      <w:i/>
      <w:color w:val="000000"/>
    </w:rPr>
  </w:style>
  <w:style w:type="paragraph" w:customStyle="1" w:styleId="SARJNota">
    <w:name w:val="SARJ Nota"/>
    <w:pPr>
      <w:spacing w:after="120" w:line="240" w:lineRule="auto"/>
    </w:pPr>
    <w:rPr>
      <w:rFonts w:ascii="Times New Roman" w:hAnsi="Times New Roman"/>
      <w:color w:val="000000"/>
      <w:sz w:val="20"/>
    </w:rPr>
  </w:style>
  <w:style w:type="paragraph" w:customStyle="1" w:styleId="SARJReferencia">
    <w:name w:val="SARJ Referencia"/>
    <w:pPr>
      <w:spacing w:after="120" w:line="240" w:lineRule="auto"/>
      <w:ind w:left="720" w:hanging="720"/>
      <w:jc w:val="both"/>
    </w:pPr>
    <w:rPr>
      <w:rFonts w:ascii="Times New Roman" w:hAnsi="Times New Roman"/>
      <w:color w:val="000000"/>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Times New Roman" w:eastAsiaTheme="minorEastAsia" w:hAnsi="Times New Roman"/>
      <w:color w:val="000000"/>
      <w:sz w:val="20"/>
      <w:szCs w:val="20"/>
      <w:lang w:val="es-ES" w:eastAsia="es-ES"/>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F0508A"/>
    <w:rPr>
      <w:b/>
      <w:bCs/>
    </w:rPr>
  </w:style>
  <w:style w:type="character" w:customStyle="1" w:styleId="AsuntodelcomentarioCar">
    <w:name w:val="Asunto del comentario Car"/>
    <w:basedOn w:val="TextocomentarioCar"/>
    <w:link w:val="Asuntodelcomentario"/>
    <w:uiPriority w:val="99"/>
    <w:semiHidden/>
    <w:rsid w:val="00F0508A"/>
    <w:rPr>
      <w:rFonts w:ascii="Times New Roman" w:eastAsiaTheme="minorEastAsia" w:hAnsi="Times New Roman"/>
      <w:b/>
      <w:bCs/>
      <w:color w:val="000000"/>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5255">
      <w:bodyDiv w:val="1"/>
      <w:marLeft w:val="0"/>
      <w:marRight w:val="0"/>
      <w:marTop w:val="0"/>
      <w:marBottom w:val="0"/>
      <w:divBdr>
        <w:top w:val="none" w:sz="0" w:space="0" w:color="auto"/>
        <w:left w:val="none" w:sz="0" w:space="0" w:color="auto"/>
        <w:bottom w:val="none" w:sz="0" w:space="0" w:color="auto"/>
        <w:right w:val="none" w:sz="0" w:space="0" w:color="auto"/>
      </w:divBdr>
    </w:div>
    <w:div w:id="80688905">
      <w:bodyDiv w:val="1"/>
      <w:marLeft w:val="0"/>
      <w:marRight w:val="0"/>
      <w:marTop w:val="0"/>
      <w:marBottom w:val="0"/>
      <w:divBdr>
        <w:top w:val="none" w:sz="0" w:space="0" w:color="auto"/>
        <w:left w:val="none" w:sz="0" w:space="0" w:color="auto"/>
        <w:bottom w:val="none" w:sz="0" w:space="0" w:color="auto"/>
        <w:right w:val="none" w:sz="0" w:space="0" w:color="auto"/>
      </w:divBdr>
    </w:div>
    <w:div w:id="116802404">
      <w:bodyDiv w:val="1"/>
      <w:marLeft w:val="0"/>
      <w:marRight w:val="0"/>
      <w:marTop w:val="0"/>
      <w:marBottom w:val="0"/>
      <w:divBdr>
        <w:top w:val="none" w:sz="0" w:space="0" w:color="auto"/>
        <w:left w:val="none" w:sz="0" w:space="0" w:color="auto"/>
        <w:bottom w:val="none" w:sz="0" w:space="0" w:color="auto"/>
        <w:right w:val="none" w:sz="0" w:space="0" w:color="auto"/>
      </w:divBdr>
    </w:div>
    <w:div w:id="654380294">
      <w:bodyDiv w:val="1"/>
      <w:marLeft w:val="0"/>
      <w:marRight w:val="0"/>
      <w:marTop w:val="0"/>
      <w:marBottom w:val="0"/>
      <w:divBdr>
        <w:top w:val="none" w:sz="0" w:space="0" w:color="auto"/>
        <w:left w:val="none" w:sz="0" w:space="0" w:color="auto"/>
        <w:bottom w:val="none" w:sz="0" w:space="0" w:color="auto"/>
        <w:right w:val="none" w:sz="0" w:space="0" w:color="auto"/>
      </w:divBdr>
      <w:divsChild>
        <w:div w:id="415399156">
          <w:marLeft w:val="0"/>
          <w:marRight w:val="0"/>
          <w:marTop w:val="0"/>
          <w:marBottom w:val="0"/>
          <w:divBdr>
            <w:top w:val="none" w:sz="0" w:space="0" w:color="auto"/>
            <w:left w:val="none" w:sz="0" w:space="0" w:color="auto"/>
            <w:bottom w:val="none" w:sz="0" w:space="0" w:color="auto"/>
            <w:right w:val="none" w:sz="0" w:space="0" w:color="auto"/>
          </w:divBdr>
        </w:div>
        <w:div w:id="1559239605">
          <w:marLeft w:val="0"/>
          <w:marRight w:val="0"/>
          <w:marTop w:val="0"/>
          <w:marBottom w:val="0"/>
          <w:divBdr>
            <w:top w:val="none" w:sz="0" w:space="0" w:color="auto"/>
            <w:left w:val="none" w:sz="0" w:space="0" w:color="auto"/>
            <w:bottom w:val="none" w:sz="0" w:space="0" w:color="auto"/>
            <w:right w:val="none" w:sz="0" w:space="0" w:color="auto"/>
          </w:divBdr>
        </w:div>
        <w:div w:id="2100830903">
          <w:marLeft w:val="0"/>
          <w:marRight w:val="0"/>
          <w:marTop w:val="0"/>
          <w:marBottom w:val="0"/>
          <w:divBdr>
            <w:top w:val="none" w:sz="0" w:space="0" w:color="auto"/>
            <w:left w:val="none" w:sz="0" w:space="0" w:color="auto"/>
            <w:bottom w:val="none" w:sz="0" w:space="0" w:color="auto"/>
            <w:right w:val="none" w:sz="0" w:space="0" w:color="auto"/>
          </w:divBdr>
        </w:div>
        <w:div w:id="1649673177">
          <w:marLeft w:val="0"/>
          <w:marRight w:val="0"/>
          <w:marTop w:val="0"/>
          <w:marBottom w:val="0"/>
          <w:divBdr>
            <w:top w:val="none" w:sz="0" w:space="0" w:color="auto"/>
            <w:left w:val="none" w:sz="0" w:space="0" w:color="auto"/>
            <w:bottom w:val="none" w:sz="0" w:space="0" w:color="auto"/>
            <w:right w:val="none" w:sz="0" w:space="0" w:color="auto"/>
          </w:divBdr>
        </w:div>
        <w:div w:id="584649988">
          <w:marLeft w:val="0"/>
          <w:marRight w:val="0"/>
          <w:marTop w:val="0"/>
          <w:marBottom w:val="0"/>
          <w:divBdr>
            <w:top w:val="none" w:sz="0" w:space="0" w:color="auto"/>
            <w:left w:val="none" w:sz="0" w:space="0" w:color="auto"/>
            <w:bottom w:val="none" w:sz="0" w:space="0" w:color="auto"/>
            <w:right w:val="none" w:sz="0" w:space="0" w:color="auto"/>
          </w:divBdr>
        </w:div>
        <w:div w:id="1600332280">
          <w:marLeft w:val="0"/>
          <w:marRight w:val="0"/>
          <w:marTop w:val="0"/>
          <w:marBottom w:val="0"/>
          <w:divBdr>
            <w:top w:val="none" w:sz="0" w:space="0" w:color="auto"/>
            <w:left w:val="none" w:sz="0" w:space="0" w:color="auto"/>
            <w:bottom w:val="none" w:sz="0" w:space="0" w:color="auto"/>
            <w:right w:val="none" w:sz="0" w:space="0" w:color="auto"/>
          </w:divBdr>
        </w:div>
      </w:divsChild>
    </w:div>
    <w:div w:id="661815235">
      <w:bodyDiv w:val="1"/>
      <w:marLeft w:val="0"/>
      <w:marRight w:val="0"/>
      <w:marTop w:val="0"/>
      <w:marBottom w:val="0"/>
      <w:divBdr>
        <w:top w:val="none" w:sz="0" w:space="0" w:color="auto"/>
        <w:left w:val="none" w:sz="0" w:space="0" w:color="auto"/>
        <w:bottom w:val="none" w:sz="0" w:space="0" w:color="auto"/>
        <w:right w:val="none" w:sz="0" w:space="0" w:color="auto"/>
      </w:divBdr>
      <w:divsChild>
        <w:div w:id="1480415808">
          <w:marLeft w:val="0"/>
          <w:marRight w:val="0"/>
          <w:marTop w:val="0"/>
          <w:marBottom w:val="0"/>
          <w:divBdr>
            <w:top w:val="none" w:sz="0" w:space="0" w:color="auto"/>
            <w:left w:val="none" w:sz="0" w:space="0" w:color="auto"/>
            <w:bottom w:val="none" w:sz="0" w:space="0" w:color="auto"/>
            <w:right w:val="none" w:sz="0" w:space="0" w:color="auto"/>
          </w:divBdr>
        </w:div>
        <w:div w:id="2134518895">
          <w:marLeft w:val="0"/>
          <w:marRight w:val="0"/>
          <w:marTop w:val="0"/>
          <w:marBottom w:val="0"/>
          <w:divBdr>
            <w:top w:val="none" w:sz="0" w:space="0" w:color="auto"/>
            <w:left w:val="none" w:sz="0" w:space="0" w:color="auto"/>
            <w:bottom w:val="none" w:sz="0" w:space="0" w:color="auto"/>
            <w:right w:val="none" w:sz="0" w:space="0" w:color="auto"/>
          </w:divBdr>
        </w:div>
        <w:div w:id="1006715655">
          <w:marLeft w:val="0"/>
          <w:marRight w:val="0"/>
          <w:marTop w:val="0"/>
          <w:marBottom w:val="0"/>
          <w:divBdr>
            <w:top w:val="none" w:sz="0" w:space="0" w:color="auto"/>
            <w:left w:val="none" w:sz="0" w:space="0" w:color="auto"/>
            <w:bottom w:val="none" w:sz="0" w:space="0" w:color="auto"/>
            <w:right w:val="none" w:sz="0" w:space="0" w:color="auto"/>
          </w:divBdr>
        </w:div>
        <w:div w:id="1870220960">
          <w:marLeft w:val="0"/>
          <w:marRight w:val="0"/>
          <w:marTop w:val="0"/>
          <w:marBottom w:val="0"/>
          <w:divBdr>
            <w:top w:val="none" w:sz="0" w:space="0" w:color="auto"/>
            <w:left w:val="none" w:sz="0" w:space="0" w:color="auto"/>
            <w:bottom w:val="none" w:sz="0" w:space="0" w:color="auto"/>
            <w:right w:val="none" w:sz="0" w:space="0" w:color="auto"/>
          </w:divBdr>
        </w:div>
        <w:div w:id="1716661358">
          <w:marLeft w:val="0"/>
          <w:marRight w:val="0"/>
          <w:marTop w:val="0"/>
          <w:marBottom w:val="0"/>
          <w:divBdr>
            <w:top w:val="none" w:sz="0" w:space="0" w:color="auto"/>
            <w:left w:val="none" w:sz="0" w:space="0" w:color="auto"/>
            <w:bottom w:val="none" w:sz="0" w:space="0" w:color="auto"/>
            <w:right w:val="none" w:sz="0" w:space="0" w:color="auto"/>
          </w:divBdr>
        </w:div>
        <w:div w:id="276524293">
          <w:marLeft w:val="0"/>
          <w:marRight w:val="0"/>
          <w:marTop w:val="0"/>
          <w:marBottom w:val="0"/>
          <w:divBdr>
            <w:top w:val="none" w:sz="0" w:space="0" w:color="auto"/>
            <w:left w:val="none" w:sz="0" w:space="0" w:color="auto"/>
            <w:bottom w:val="none" w:sz="0" w:space="0" w:color="auto"/>
            <w:right w:val="none" w:sz="0" w:space="0" w:color="auto"/>
          </w:divBdr>
        </w:div>
        <w:div w:id="79718291">
          <w:marLeft w:val="0"/>
          <w:marRight w:val="0"/>
          <w:marTop w:val="0"/>
          <w:marBottom w:val="0"/>
          <w:divBdr>
            <w:top w:val="none" w:sz="0" w:space="0" w:color="auto"/>
            <w:left w:val="none" w:sz="0" w:space="0" w:color="auto"/>
            <w:bottom w:val="none" w:sz="0" w:space="0" w:color="auto"/>
            <w:right w:val="none" w:sz="0" w:space="0" w:color="auto"/>
          </w:divBdr>
        </w:div>
        <w:div w:id="236482107">
          <w:marLeft w:val="0"/>
          <w:marRight w:val="0"/>
          <w:marTop w:val="0"/>
          <w:marBottom w:val="0"/>
          <w:divBdr>
            <w:top w:val="none" w:sz="0" w:space="0" w:color="auto"/>
            <w:left w:val="none" w:sz="0" w:space="0" w:color="auto"/>
            <w:bottom w:val="none" w:sz="0" w:space="0" w:color="auto"/>
            <w:right w:val="none" w:sz="0" w:space="0" w:color="auto"/>
          </w:divBdr>
        </w:div>
        <w:div w:id="1774936091">
          <w:marLeft w:val="0"/>
          <w:marRight w:val="0"/>
          <w:marTop w:val="0"/>
          <w:marBottom w:val="0"/>
          <w:divBdr>
            <w:top w:val="none" w:sz="0" w:space="0" w:color="auto"/>
            <w:left w:val="none" w:sz="0" w:space="0" w:color="auto"/>
            <w:bottom w:val="none" w:sz="0" w:space="0" w:color="auto"/>
            <w:right w:val="none" w:sz="0" w:space="0" w:color="auto"/>
          </w:divBdr>
        </w:div>
        <w:div w:id="67465938">
          <w:marLeft w:val="0"/>
          <w:marRight w:val="0"/>
          <w:marTop w:val="0"/>
          <w:marBottom w:val="0"/>
          <w:divBdr>
            <w:top w:val="none" w:sz="0" w:space="0" w:color="auto"/>
            <w:left w:val="none" w:sz="0" w:space="0" w:color="auto"/>
            <w:bottom w:val="none" w:sz="0" w:space="0" w:color="auto"/>
            <w:right w:val="none" w:sz="0" w:space="0" w:color="auto"/>
          </w:divBdr>
        </w:div>
        <w:div w:id="224919564">
          <w:marLeft w:val="0"/>
          <w:marRight w:val="0"/>
          <w:marTop w:val="0"/>
          <w:marBottom w:val="0"/>
          <w:divBdr>
            <w:top w:val="none" w:sz="0" w:space="0" w:color="auto"/>
            <w:left w:val="none" w:sz="0" w:space="0" w:color="auto"/>
            <w:bottom w:val="none" w:sz="0" w:space="0" w:color="auto"/>
            <w:right w:val="none" w:sz="0" w:space="0" w:color="auto"/>
          </w:divBdr>
        </w:div>
        <w:div w:id="1715350126">
          <w:marLeft w:val="0"/>
          <w:marRight w:val="0"/>
          <w:marTop w:val="0"/>
          <w:marBottom w:val="0"/>
          <w:divBdr>
            <w:top w:val="none" w:sz="0" w:space="0" w:color="auto"/>
            <w:left w:val="none" w:sz="0" w:space="0" w:color="auto"/>
            <w:bottom w:val="none" w:sz="0" w:space="0" w:color="auto"/>
            <w:right w:val="none" w:sz="0" w:space="0" w:color="auto"/>
          </w:divBdr>
        </w:div>
        <w:div w:id="1070228968">
          <w:marLeft w:val="0"/>
          <w:marRight w:val="0"/>
          <w:marTop w:val="0"/>
          <w:marBottom w:val="0"/>
          <w:divBdr>
            <w:top w:val="none" w:sz="0" w:space="0" w:color="auto"/>
            <w:left w:val="none" w:sz="0" w:space="0" w:color="auto"/>
            <w:bottom w:val="none" w:sz="0" w:space="0" w:color="auto"/>
            <w:right w:val="none" w:sz="0" w:space="0" w:color="auto"/>
          </w:divBdr>
        </w:div>
        <w:div w:id="234517385">
          <w:marLeft w:val="0"/>
          <w:marRight w:val="0"/>
          <w:marTop w:val="0"/>
          <w:marBottom w:val="0"/>
          <w:divBdr>
            <w:top w:val="none" w:sz="0" w:space="0" w:color="auto"/>
            <w:left w:val="none" w:sz="0" w:space="0" w:color="auto"/>
            <w:bottom w:val="none" w:sz="0" w:space="0" w:color="auto"/>
            <w:right w:val="none" w:sz="0" w:space="0" w:color="auto"/>
          </w:divBdr>
        </w:div>
        <w:div w:id="2054304397">
          <w:marLeft w:val="0"/>
          <w:marRight w:val="0"/>
          <w:marTop w:val="0"/>
          <w:marBottom w:val="0"/>
          <w:divBdr>
            <w:top w:val="none" w:sz="0" w:space="0" w:color="auto"/>
            <w:left w:val="none" w:sz="0" w:space="0" w:color="auto"/>
            <w:bottom w:val="none" w:sz="0" w:space="0" w:color="auto"/>
            <w:right w:val="none" w:sz="0" w:space="0" w:color="auto"/>
          </w:divBdr>
        </w:div>
        <w:div w:id="1869566344">
          <w:marLeft w:val="0"/>
          <w:marRight w:val="0"/>
          <w:marTop w:val="0"/>
          <w:marBottom w:val="0"/>
          <w:divBdr>
            <w:top w:val="none" w:sz="0" w:space="0" w:color="auto"/>
            <w:left w:val="none" w:sz="0" w:space="0" w:color="auto"/>
            <w:bottom w:val="none" w:sz="0" w:space="0" w:color="auto"/>
            <w:right w:val="none" w:sz="0" w:space="0" w:color="auto"/>
          </w:divBdr>
        </w:div>
        <w:div w:id="1912347560">
          <w:marLeft w:val="0"/>
          <w:marRight w:val="0"/>
          <w:marTop w:val="0"/>
          <w:marBottom w:val="0"/>
          <w:divBdr>
            <w:top w:val="none" w:sz="0" w:space="0" w:color="auto"/>
            <w:left w:val="none" w:sz="0" w:space="0" w:color="auto"/>
            <w:bottom w:val="none" w:sz="0" w:space="0" w:color="auto"/>
            <w:right w:val="none" w:sz="0" w:space="0" w:color="auto"/>
          </w:divBdr>
        </w:div>
        <w:div w:id="453447467">
          <w:marLeft w:val="0"/>
          <w:marRight w:val="0"/>
          <w:marTop w:val="0"/>
          <w:marBottom w:val="0"/>
          <w:divBdr>
            <w:top w:val="none" w:sz="0" w:space="0" w:color="auto"/>
            <w:left w:val="none" w:sz="0" w:space="0" w:color="auto"/>
            <w:bottom w:val="none" w:sz="0" w:space="0" w:color="auto"/>
            <w:right w:val="none" w:sz="0" w:space="0" w:color="auto"/>
          </w:divBdr>
        </w:div>
        <w:div w:id="1660575089">
          <w:marLeft w:val="0"/>
          <w:marRight w:val="0"/>
          <w:marTop w:val="0"/>
          <w:marBottom w:val="0"/>
          <w:divBdr>
            <w:top w:val="none" w:sz="0" w:space="0" w:color="auto"/>
            <w:left w:val="none" w:sz="0" w:space="0" w:color="auto"/>
            <w:bottom w:val="none" w:sz="0" w:space="0" w:color="auto"/>
            <w:right w:val="none" w:sz="0" w:space="0" w:color="auto"/>
          </w:divBdr>
        </w:div>
        <w:div w:id="1583492612">
          <w:marLeft w:val="0"/>
          <w:marRight w:val="0"/>
          <w:marTop w:val="0"/>
          <w:marBottom w:val="0"/>
          <w:divBdr>
            <w:top w:val="none" w:sz="0" w:space="0" w:color="auto"/>
            <w:left w:val="none" w:sz="0" w:space="0" w:color="auto"/>
            <w:bottom w:val="none" w:sz="0" w:space="0" w:color="auto"/>
            <w:right w:val="none" w:sz="0" w:space="0" w:color="auto"/>
          </w:divBdr>
        </w:div>
        <w:div w:id="1579292693">
          <w:marLeft w:val="0"/>
          <w:marRight w:val="0"/>
          <w:marTop w:val="0"/>
          <w:marBottom w:val="0"/>
          <w:divBdr>
            <w:top w:val="none" w:sz="0" w:space="0" w:color="auto"/>
            <w:left w:val="none" w:sz="0" w:space="0" w:color="auto"/>
            <w:bottom w:val="none" w:sz="0" w:space="0" w:color="auto"/>
            <w:right w:val="none" w:sz="0" w:space="0" w:color="auto"/>
          </w:divBdr>
        </w:div>
        <w:div w:id="1554852514">
          <w:marLeft w:val="0"/>
          <w:marRight w:val="0"/>
          <w:marTop w:val="0"/>
          <w:marBottom w:val="0"/>
          <w:divBdr>
            <w:top w:val="none" w:sz="0" w:space="0" w:color="auto"/>
            <w:left w:val="none" w:sz="0" w:space="0" w:color="auto"/>
            <w:bottom w:val="none" w:sz="0" w:space="0" w:color="auto"/>
            <w:right w:val="none" w:sz="0" w:space="0" w:color="auto"/>
          </w:divBdr>
        </w:div>
        <w:div w:id="480542169">
          <w:marLeft w:val="0"/>
          <w:marRight w:val="0"/>
          <w:marTop w:val="0"/>
          <w:marBottom w:val="0"/>
          <w:divBdr>
            <w:top w:val="none" w:sz="0" w:space="0" w:color="auto"/>
            <w:left w:val="none" w:sz="0" w:space="0" w:color="auto"/>
            <w:bottom w:val="none" w:sz="0" w:space="0" w:color="auto"/>
            <w:right w:val="none" w:sz="0" w:space="0" w:color="auto"/>
          </w:divBdr>
        </w:div>
        <w:div w:id="408772189">
          <w:marLeft w:val="0"/>
          <w:marRight w:val="0"/>
          <w:marTop w:val="0"/>
          <w:marBottom w:val="0"/>
          <w:divBdr>
            <w:top w:val="none" w:sz="0" w:space="0" w:color="auto"/>
            <w:left w:val="none" w:sz="0" w:space="0" w:color="auto"/>
            <w:bottom w:val="none" w:sz="0" w:space="0" w:color="auto"/>
            <w:right w:val="none" w:sz="0" w:space="0" w:color="auto"/>
          </w:divBdr>
        </w:div>
      </w:divsChild>
    </w:div>
    <w:div w:id="763262850">
      <w:bodyDiv w:val="1"/>
      <w:marLeft w:val="0"/>
      <w:marRight w:val="0"/>
      <w:marTop w:val="0"/>
      <w:marBottom w:val="0"/>
      <w:divBdr>
        <w:top w:val="none" w:sz="0" w:space="0" w:color="auto"/>
        <w:left w:val="none" w:sz="0" w:space="0" w:color="auto"/>
        <w:bottom w:val="none" w:sz="0" w:space="0" w:color="auto"/>
        <w:right w:val="none" w:sz="0" w:space="0" w:color="auto"/>
      </w:divBdr>
    </w:div>
    <w:div w:id="955986689">
      <w:bodyDiv w:val="1"/>
      <w:marLeft w:val="0"/>
      <w:marRight w:val="0"/>
      <w:marTop w:val="0"/>
      <w:marBottom w:val="0"/>
      <w:divBdr>
        <w:top w:val="none" w:sz="0" w:space="0" w:color="auto"/>
        <w:left w:val="none" w:sz="0" w:space="0" w:color="auto"/>
        <w:bottom w:val="none" w:sz="0" w:space="0" w:color="auto"/>
        <w:right w:val="none" w:sz="0" w:space="0" w:color="auto"/>
      </w:divBdr>
    </w:div>
    <w:div w:id="1016617705">
      <w:bodyDiv w:val="1"/>
      <w:marLeft w:val="0"/>
      <w:marRight w:val="0"/>
      <w:marTop w:val="0"/>
      <w:marBottom w:val="0"/>
      <w:divBdr>
        <w:top w:val="none" w:sz="0" w:space="0" w:color="auto"/>
        <w:left w:val="none" w:sz="0" w:space="0" w:color="auto"/>
        <w:bottom w:val="none" w:sz="0" w:space="0" w:color="auto"/>
        <w:right w:val="none" w:sz="0" w:space="0" w:color="auto"/>
      </w:divBdr>
      <w:divsChild>
        <w:div w:id="1823277678">
          <w:marLeft w:val="0"/>
          <w:marRight w:val="0"/>
          <w:marTop w:val="0"/>
          <w:marBottom w:val="0"/>
          <w:divBdr>
            <w:top w:val="none" w:sz="0" w:space="0" w:color="auto"/>
            <w:left w:val="none" w:sz="0" w:space="0" w:color="auto"/>
            <w:bottom w:val="none" w:sz="0" w:space="0" w:color="auto"/>
            <w:right w:val="none" w:sz="0" w:space="0" w:color="auto"/>
          </w:divBdr>
        </w:div>
        <w:div w:id="1199971966">
          <w:marLeft w:val="0"/>
          <w:marRight w:val="0"/>
          <w:marTop w:val="0"/>
          <w:marBottom w:val="0"/>
          <w:divBdr>
            <w:top w:val="none" w:sz="0" w:space="0" w:color="auto"/>
            <w:left w:val="none" w:sz="0" w:space="0" w:color="auto"/>
            <w:bottom w:val="none" w:sz="0" w:space="0" w:color="auto"/>
            <w:right w:val="none" w:sz="0" w:space="0" w:color="auto"/>
          </w:divBdr>
        </w:div>
        <w:div w:id="1623537558">
          <w:marLeft w:val="0"/>
          <w:marRight w:val="0"/>
          <w:marTop w:val="0"/>
          <w:marBottom w:val="0"/>
          <w:divBdr>
            <w:top w:val="none" w:sz="0" w:space="0" w:color="auto"/>
            <w:left w:val="none" w:sz="0" w:space="0" w:color="auto"/>
            <w:bottom w:val="none" w:sz="0" w:space="0" w:color="auto"/>
            <w:right w:val="none" w:sz="0" w:space="0" w:color="auto"/>
          </w:divBdr>
        </w:div>
        <w:div w:id="205681158">
          <w:marLeft w:val="0"/>
          <w:marRight w:val="0"/>
          <w:marTop w:val="0"/>
          <w:marBottom w:val="0"/>
          <w:divBdr>
            <w:top w:val="none" w:sz="0" w:space="0" w:color="auto"/>
            <w:left w:val="none" w:sz="0" w:space="0" w:color="auto"/>
            <w:bottom w:val="none" w:sz="0" w:space="0" w:color="auto"/>
            <w:right w:val="none" w:sz="0" w:space="0" w:color="auto"/>
          </w:divBdr>
        </w:div>
        <w:div w:id="50616640">
          <w:marLeft w:val="0"/>
          <w:marRight w:val="0"/>
          <w:marTop w:val="0"/>
          <w:marBottom w:val="0"/>
          <w:divBdr>
            <w:top w:val="none" w:sz="0" w:space="0" w:color="auto"/>
            <w:left w:val="none" w:sz="0" w:space="0" w:color="auto"/>
            <w:bottom w:val="none" w:sz="0" w:space="0" w:color="auto"/>
            <w:right w:val="none" w:sz="0" w:space="0" w:color="auto"/>
          </w:divBdr>
        </w:div>
        <w:div w:id="2130857039">
          <w:marLeft w:val="0"/>
          <w:marRight w:val="0"/>
          <w:marTop w:val="0"/>
          <w:marBottom w:val="0"/>
          <w:divBdr>
            <w:top w:val="none" w:sz="0" w:space="0" w:color="auto"/>
            <w:left w:val="none" w:sz="0" w:space="0" w:color="auto"/>
            <w:bottom w:val="none" w:sz="0" w:space="0" w:color="auto"/>
            <w:right w:val="none" w:sz="0" w:space="0" w:color="auto"/>
          </w:divBdr>
        </w:div>
        <w:div w:id="338434462">
          <w:marLeft w:val="0"/>
          <w:marRight w:val="0"/>
          <w:marTop w:val="0"/>
          <w:marBottom w:val="0"/>
          <w:divBdr>
            <w:top w:val="none" w:sz="0" w:space="0" w:color="auto"/>
            <w:left w:val="none" w:sz="0" w:space="0" w:color="auto"/>
            <w:bottom w:val="none" w:sz="0" w:space="0" w:color="auto"/>
            <w:right w:val="none" w:sz="0" w:space="0" w:color="auto"/>
          </w:divBdr>
        </w:div>
        <w:div w:id="1259364261">
          <w:marLeft w:val="0"/>
          <w:marRight w:val="0"/>
          <w:marTop w:val="0"/>
          <w:marBottom w:val="0"/>
          <w:divBdr>
            <w:top w:val="none" w:sz="0" w:space="0" w:color="auto"/>
            <w:left w:val="none" w:sz="0" w:space="0" w:color="auto"/>
            <w:bottom w:val="none" w:sz="0" w:space="0" w:color="auto"/>
            <w:right w:val="none" w:sz="0" w:space="0" w:color="auto"/>
          </w:divBdr>
        </w:div>
        <w:div w:id="1600405271">
          <w:marLeft w:val="0"/>
          <w:marRight w:val="0"/>
          <w:marTop w:val="0"/>
          <w:marBottom w:val="0"/>
          <w:divBdr>
            <w:top w:val="none" w:sz="0" w:space="0" w:color="auto"/>
            <w:left w:val="none" w:sz="0" w:space="0" w:color="auto"/>
            <w:bottom w:val="none" w:sz="0" w:space="0" w:color="auto"/>
            <w:right w:val="none" w:sz="0" w:space="0" w:color="auto"/>
          </w:divBdr>
        </w:div>
        <w:div w:id="12608661">
          <w:marLeft w:val="0"/>
          <w:marRight w:val="0"/>
          <w:marTop w:val="0"/>
          <w:marBottom w:val="0"/>
          <w:divBdr>
            <w:top w:val="none" w:sz="0" w:space="0" w:color="auto"/>
            <w:left w:val="none" w:sz="0" w:space="0" w:color="auto"/>
            <w:bottom w:val="none" w:sz="0" w:space="0" w:color="auto"/>
            <w:right w:val="none" w:sz="0" w:space="0" w:color="auto"/>
          </w:divBdr>
        </w:div>
        <w:div w:id="1209613258">
          <w:marLeft w:val="0"/>
          <w:marRight w:val="0"/>
          <w:marTop w:val="0"/>
          <w:marBottom w:val="0"/>
          <w:divBdr>
            <w:top w:val="none" w:sz="0" w:space="0" w:color="auto"/>
            <w:left w:val="none" w:sz="0" w:space="0" w:color="auto"/>
            <w:bottom w:val="none" w:sz="0" w:space="0" w:color="auto"/>
            <w:right w:val="none" w:sz="0" w:space="0" w:color="auto"/>
          </w:divBdr>
        </w:div>
        <w:div w:id="1355500287">
          <w:marLeft w:val="0"/>
          <w:marRight w:val="0"/>
          <w:marTop w:val="0"/>
          <w:marBottom w:val="0"/>
          <w:divBdr>
            <w:top w:val="none" w:sz="0" w:space="0" w:color="auto"/>
            <w:left w:val="none" w:sz="0" w:space="0" w:color="auto"/>
            <w:bottom w:val="none" w:sz="0" w:space="0" w:color="auto"/>
            <w:right w:val="none" w:sz="0" w:space="0" w:color="auto"/>
          </w:divBdr>
        </w:div>
        <w:div w:id="705298612">
          <w:marLeft w:val="0"/>
          <w:marRight w:val="0"/>
          <w:marTop w:val="0"/>
          <w:marBottom w:val="0"/>
          <w:divBdr>
            <w:top w:val="none" w:sz="0" w:space="0" w:color="auto"/>
            <w:left w:val="none" w:sz="0" w:space="0" w:color="auto"/>
            <w:bottom w:val="none" w:sz="0" w:space="0" w:color="auto"/>
            <w:right w:val="none" w:sz="0" w:space="0" w:color="auto"/>
          </w:divBdr>
          <w:divsChild>
            <w:div w:id="1696617475">
              <w:marLeft w:val="-75"/>
              <w:marRight w:val="0"/>
              <w:marTop w:val="30"/>
              <w:marBottom w:val="30"/>
              <w:divBdr>
                <w:top w:val="none" w:sz="0" w:space="0" w:color="auto"/>
                <w:left w:val="none" w:sz="0" w:space="0" w:color="auto"/>
                <w:bottom w:val="none" w:sz="0" w:space="0" w:color="auto"/>
                <w:right w:val="none" w:sz="0" w:space="0" w:color="auto"/>
              </w:divBdr>
              <w:divsChild>
                <w:div w:id="511262045">
                  <w:marLeft w:val="0"/>
                  <w:marRight w:val="0"/>
                  <w:marTop w:val="0"/>
                  <w:marBottom w:val="0"/>
                  <w:divBdr>
                    <w:top w:val="none" w:sz="0" w:space="0" w:color="auto"/>
                    <w:left w:val="none" w:sz="0" w:space="0" w:color="auto"/>
                    <w:bottom w:val="none" w:sz="0" w:space="0" w:color="auto"/>
                    <w:right w:val="none" w:sz="0" w:space="0" w:color="auto"/>
                  </w:divBdr>
                  <w:divsChild>
                    <w:div w:id="701785329">
                      <w:marLeft w:val="0"/>
                      <w:marRight w:val="0"/>
                      <w:marTop w:val="0"/>
                      <w:marBottom w:val="0"/>
                      <w:divBdr>
                        <w:top w:val="none" w:sz="0" w:space="0" w:color="auto"/>
                        <w:left w:val="none" w:sz="0" w:space="0" w:color="auto"/>
                        <w:bottom w:val="none" w:sz="0" w:space="0" w:color="auto"/>
                        <w:right w:val="none" w:sz="0" w:space="0" w:color="auto"/>
                      </w:divBdr>
                    </w:div>
                  </w:divsChild>
                </w:div>
                <w:div w:id="146407683">
                  <w:marLeft w:val="0"/>
                  <w:marRight w:val="0"/>
                  <w:marTop w:val="0"/>
                  <w:marBottom w:val="0"/>
                  <w:divBdr>
                    <w:top w:val="none" w:sz="0" w:space="0" w:color="auto"/>
                    <w:left w:val="none" w:sz="0" w:space="0" w:color="auto"/>
                    <w:bottom w:val="none" w:sz="0" w:space="0" w:color="auto"/>
                    <w:right w:val="none" w:sz="0" w:space="0" w:color="auto"/>
                  </w:divBdr>
                  <w:divsChild>
                    <w:div w:id="627395186">
                      <w:marLeft w:val="0"/>
                      <w:marRight w:val="0"/>
                      <w:marTop w:val="0"/>
                      <w:marBottom w:val="0"/>
                      <w:divBdr>
                        <w:top w:val="none" w:sz="0" w:space="0" w:color="auto"/>
                        <w:left w:val="none" w:sz="0" w:space="0" w:color="auto"/>
                        <w:bottom w:val="none" w:sz="0" w:space="0" w:color="auto"/>
                        <w:right w:val="none" w:sz="0" w:space="0" w:color="auto"/>
                      </w:divBdr>
                    </w:div>
                  </w:divsChild>
                </w:div>
                <w:div w:id="2017226215">
                  <w:marLeft w:val="0"/>
                  <w:marRight w:val="0"/>
                  <w:marTop w:val="0"/>
                  <w:marBottom w:val="0"/>
                  <w:divBdr>
                    <w:top w:val="none" w:sz="0" w:space="0" w:color="auto"/>
                    <w:left w:val="none" w:sz="0" w:space="0" w:color="auto"/>
                    <w:bottom w:val="none" w:sz="0" w:space="0" w:color="auto"/>
                    <w:right w:val="none" w:sz="0" w:space="0" w:color="auto"/>
                  </w:divBdr>
                  <w:divsChild>
                    <w:div w:id="1332174524">
                      <w:marLeft w:val="0"/>
                      <w:marRight w:val="0"/>
                      <w:marTop w:val="0"/>
                      <w:marBottom w:val="0"/>
                      <w:divBdr>
                        <w:top w:val="none" w:sz="0" w:space="0" w:color="auto"/>
                        <w:left w:val="none" w:sz="0" w:space="0" w:color="auto"/>
                        <w:bottom w:val="none" w:sz="0" w:space="0" w:color="auto"/>
                        <w:right w:val="none" w:sz="0" w:space="0" w:color="auto"/>
                      </w:divBdr>
                    </w:div>
                  </w:divsChild>
                </w:div>
                <w:div w:id="663826722">
                  <w:marLeft w:val="0"/>
                  <w:marRight w:val="0"/>
                  <w:marTop w:val="0"/>
                  <w:marBottom w:val="0"/>
                  <w:divBdr>
                    <w:top w:val="none" w:sz="0" w:space="0" w:color="auto"/>
                    <w:left w:val="none" w:sz="0" w:space="0" w:color="auto"/>
                    <w:bottom w:val="none" w:sz="0" w:space="0" w:color="auto"/>
                    <w:right w:val="none" w:sz="0" w:space="0" w:color="auto"/>
                  </w:divBdr>
                  <w:divsChild>
                    <w:div w:id="1386104895">
                      <w:marLeft w:val="0"/>
                      <w:marRight w:val="0"/>
                      <w:marTop w:val="0"/>
                      <w:marBottom w:val="0"/>
                      <w:divBdr>
                        <w:top w:val="none" w:sz="0" w:space="0" w:color="auto"/>
                        <w:left w:val="none" w:sz="0" w:space="0" w:color="auto"/>
                        <w:bottom w:val="none" w:sz="0" w:space="0" w:color="auto"/>
                        <w:right w:val="none" w:sz="0" w:space="0" w:color="auto"/>
                      </w:divBdr>
                    </w:div>
                  </w:divsChild>
                </w:div>
                <w:div w:id="1354107370">
                  <w:marLeft w:val="0"/>
                  <w:marRight w:val="0"/>
                  <w:marTop w:val="0"/>
                  <w:marBottom w:val="0"/>
                  <w:divBdr>
                    <w:top w:val="none" w:sz="0" w:space="0" w:color="auto"/>
                    <w:left w:val="none" w:sz="0" w:space="0" w:color="auto"/>
                    <w:bottom w:val="none" w:sz="0" w:space="0" w:color="auto"/>
                    <w:right w:val="none" w:sz="0" w:space="0" w:color="auto"/>
                  </w:divBdr>
                  <w:divsChild>
                    <w:div w:id="2017227242">
                      <w:marLeft w:val="0"/>
                      <w:marRight w:val="0"/>
                      <w:marTop w:val="0"/>
                      <w:marBottom w:val="0"/>
                      <w:divBdr>
                        <w:top w:val="none" w:sz="0" w:space="0" w:color="auto"/>
                        <w:left w:val="none" w:sz="0" w:space="0" w:color="auto"/>
                        <w:bottom w:val="none" w:sz="0" w:space="0" w:color="auto"/>
                        <w:right w:val="none" w:sz="0" w:space="0" w:color="auto"/>
                      </w:divBdr>
                    </w:div>
                  </w:divsChild>
                </w:div>
                <w:div w:id="317922164">
                  <w:marLeft w:val="0"/>
                  <w:marRight w:val="0"/>
                  <w:marTop w:val="0"/>
                  <w:marBottom w:val="0"/>
                  <w:divBdr>
                    <w:top w:val="none" w:sz="0" w:space="0" w:color="auto"/>
                    <w:left w:val="none" w:sz="0" w:space="0" w:color="auto"/>
                    <w:bottom w:val="none" w:sz="0" w:space="0" w:color="auto"/>
                    <w:right w:val="none" w:sz="0" w:space="0" w:color="auto"/>
                  </w:divBdr>
                  <w:divsChild>
                    <w:div w:id="1316449335">
                      <w:marLeft w:val="0"/>
                      <w:marRight w:val="0"/>
                      <w:marTop w:val="0"/>
                      <w:marBottom w:val="0"/>
                      <w:divBdr>
                        <w:top w:val="none" w:sz="0" w:space="0" w:color="auto"/>
                        <w:left w:val="none" w:sz="0" w:space="0" w:color="auto"/>
                        <w:bottom w:val="none" w:sz="0" w:space="0" w:color="auto"/>
                        <w:right w:val="none" w:sz="0" w:space="0" w:color="auto"/>
                      </w:divBdr>
                    </w:div>
                  </w:divsChild>
                </w:div>
                <w:div w:id="1269193353">
                  <w:marLeft w:val="0"/>
                  <w:marRight w:val="0"/>
                  <w:marTop w:val="0"/>
                  <w:marBottom w:val="0"/>
                  <w:divBdr>
                    <w:top w:val="none" w:sz="0" w:space="0" w:color="auto"/>
                    <w:left w:val="none" w:sz="0" w:space="0" w:color="auto"/>
                    <w:bottom w:val="none" w:sz="0" w:space="0" w:color="auto"/>
                    <w:right w:val="none" w:sz="0" w:space="0" w:color="auto"/>
                  </w:divBdr>
                  <w:divsChild>
                    <w:div w:id="890768944">
                      <w:marLeft w:val="0"/>
                      <w:marRight w:val="0"/>
                      <w:marTop w:val="0"/>
                      <w:marBottom w:val="0"/>
                      <w:divBdr>
                        <w:top w:val="none" w:sz="0" w:space="0" w:color="auto"/>
                        <w:left w:val="none" w:sz="0" w:space="0" w:color="auto"/>
                        <w:bottom w:val="none" w:sz="0" w:space="0" w:color="auto"/>
                        <w:right w:val="none" w:sz="0" w:space="0" w:color="auto"/>
                      </w:divBdr>
                    </w:div>
                  </w:divsChild>
                </w:div>
                <w:div w:id="748771499">
                  <w:marLeft w:val="0"/>
                  <w:marRight w:val="0"/>
                  <w:marTop w:val="0"/>
                  <w:marBottom w:val="0"/>
                  <w:divBdr>
                    <w:top w:val="none" w:sz="0" w:space="0" w:color="auto"/>
                    <w:left w:val="none" w:sz="0" w:space="0" w:color="auto"/>
                    <w:bottom w:val="none" w:sz="0" w:space="0" w:color="auto"/>
                    <w:right w:val="none" w:sz="0" w:space="0" w:color="auto"/>
                  </w:divBdr>
                  <w:divsChild>
                    <w:div w:id="1380976528">
                      <w:marLeft w:val="0"/>
                      <w:marRight w:val="0"/>
                      <w:marTop w:val="0"/>
                      <w:marBottom w:val="0"/>
                      <w:divBdr>
                        <w:top w:val="none" w:sz="0" w:space="0" w:color="auto"/>
                        <w:left w:val="none" w:sz="0" w:space="0" w:color="auto"/>
                        <w:bottom w:val="none" w:sz="0" w:space="0" w:color="auto"/>
                        <w:right w:val="none" w:sz="0" w:space="0" w:color="auto"/>
                      </w:divBdr>
                    </w:div>
                  </w:divsChild>
                </w:div>
                <w:div w:id="192151996">
                  <w:marLeft w:val="0"/>
                  <w:marRight w:val="0"/>
                  <w:marTop w:val="0"/>
                  <w:marBottom w:val="0"/>
                  <w:divBdr>
                    <w:top w:val="none" w:sz="0" w:space="0" w:color="auto"/>
                    <w:left w:val="none" w:sz="0" w:space="0" w:color="auto"/>
                    <w:bottom w:val="none" w:sz="0" w:space="0" w:color="auto"/>
                    <w:right w:val="none" w:sz="0" w:space="0" w:color="auto"/>
                  </w:divBdr>
                  <w:divsChild>
                    <w:div w:id="920869738">
                      <w:marLeft w:val="0"/>
                      <w:marRight w:val="0"/>
                      <w:marTop w:val="0"/>
                      <w:marBottom w:val="0"/>
                      <w:divBdr>
                        <w:top w:val="none" w:sz="0" w:space="0" w:color="auto"/>
                        <w:left w:val="none" w:sz="0" w:space="0" w:color="auto"/>
                        <w:bottom w:val="none" w:sz="0" w:space="0" w:color="auto"/>
                        <w:right w:val="none" w:sz="0" w:space="0" w:color="auto"/>
                      </w:divBdr>
                    </w:div>
                  </w:divsChild>
                </w:div>
                <w:div w:id="1952935240">
                  <w:marLeft w:val="0"/>
                  <w:marRight w:val="0"/>
                  <w:marTop w:val="0"/>
                  <w:marBottom w:val="0"/>
                  <w:divBdr>
                    <w:top w:val="none" w:sz="0" w:space="0" w:color="auto"/>
                    <w:left w:val="none" w:sz="0" w:space="0" w:color="auto"/>
                    <w:bottom w:val="none" w:sz="0" w:space="0" w:color="auto"/>
                    <w:right w:val="none" w:sz="0" w:space="0" w:color="auto"/>
                  </w:divBdr>
                  <w:divsChild>
                    <w:div w:id="413630009">
                      <w:marLeft w:val="0"/>
                      <w:marRight w:val="0"/>
                      <w:marTop w:val="0"/>
                      <w:marBottom w:val="0"/>
                      <w:divBdr>
                        <w:top w:val="none" w:sz="0" w:space="0" w:color="auto"/>
                        <w:left w:val="none" w:sz="0" w:space="0" w:color="auto"/>
                        <w:bottom w:val="none" w:sz="0" w:space="0" w:color="auto"/>
                        <w:right w:val="none" w:sz="0" w:space="0" w:color="auto"/>
                      </w:divBdr>
                    </w:div>
                  </w:divsChild>
                </w:div>
                <w:div w:id="864557289">
                  <w:marLeft w:val="0"/>
                  <w:marRight w:val="0"/>
                  <w:marTop w:val="0"/>
                  <w:marBottom w:val="0"/>
                  <w:divBdr>
                    <w:top w:val="none" w:sz="0" w:space="0" w:color="auto"/>
                    <w:left w:val="none" w:sz="0" w:space="0" w:color="auto"/>
                    <w:bottom w:val="none" w:sz="0" w:space="0" w:color="auto"/>
                    <w:right w:val="none" w:sz="0" w:space="0" w:color="auto"/>
                  </w:divBdr>
                  <w:divsChild>
                    <w:div w:id="72556331">
                      <w:marLeft w:val="0"/>
                      <w:marRight w:val="0"/>
                      <w:marTop w:val="0"/>
                      <w:marBottom w:val="0"/>
                      <w:divBdr>
                        <w:top w:val="none" w:sz="0" w:space="0" w:color="auto"/>
                        <w:left w:val="none" w:sz="0" w:space="0" w:color="auto"/>
                        <w:bottom w:val="none" w:sz="0" w:space="0" w:color="auto"/>
                        <w:right w:val="none" w:sz="0" w:space="0" w:color="auto"/>
                      </w:divBdr>
                    </w:div>
                  </w:divsChild>
                </w:div>
                <w:div w:id="1751347169">
                  <w:marLeft w:val="0"/>
                  <w:marRight w:val="0"/>
                  <w:marTop w:val="0"/>
                  <w:marBottom w:val="0"/>
                  <w:divBdr>
                    <w:top w:val="none" w:sz="0" w:space="0" w:color="auto"/>
                    <w:left w:val="none" w:sz="0" w:space="0" w:color="auto"/>
                    <w:bottom w:val="none" w:sz="0" w:space="0" w:color="auto"/>
                    <w:right w:val="none" w:sz="0" w:space="0" w:color="auto"/>
                  </w:divBdr>
                  <w:divsChild>
                    <w:div w:id="933976907">
                      <w:marLeft w:val="0"/>
                      <w:marRight w:val="0"/>
                      <w:marTop w:val="0"/>
                      <w:marBottom w:val="0"/>
                      <w:divBdr>
                        <w:top w:val="none" w:sz="0" w:space="0" w:color="auto"/>
                        <w:left w:val="none" w:sz="0" w:space="0" w:color="auto"/>
                        <w:bottom w:val="none" w:sz="0" w:space="0" w:color="auto"/>
                        <w:right w:val="none" w:sz="0" w:space="0" w:color="auto"/>
                      </w:divBdr>
                    </w:div>
                  </w:divsChild>
                </w:div>
                <w:div w:id="1316226383">
                  <w:marLeft w:val="0"/>
                  <w:marRight w:val="0"/>
                  <w:marTop w:val="0"/>
                  <w:marBottom w:val="0"/>
                  <w:divBdr>
                    <w:top w:val="none" w:sz="0" w:space="0" w:color="auto"/>
                    <w:left w:val="none" w:sz="0" w:space="0" w:color="auto"/>
                    <w:bottom w:val="none" w:sz="0" w:space="0" w:color="auto"/>
                    <w:right w:val="none" w:sz="0" w:space="0" w:color="auto"/>
                  </w:divBdr>
                  <w:divsChild>
                    <w:div w:id="773548955">
                      <w:marLeft w:val="0"/>
                      <w:marRight w:val="0"/>
                      <w:marTop w:val="0"/>
                      <w:marBottom w:val="0"/>
                      <w:divBdr>
                        <w:top w:val="none" w:sz="0" w:space="0" w:color="auto"/>
                        <w:left w:val="none" w:sz="0" w:space="0" w:color="auto"/>
                        <w:bottom w:val="none" w:sz="0" w:space="0" w:color="auto"/>
                        <w:right w:val="none" w:sz="0" w:space="0" w:color="auto"/>
                      </w:divBdr>
                    </w:div>
                  </w:divsChild>
                </w:div>
                <w:div w:id="1406416037">
                  <w:marLeft w:val="0"/>
                  <w:marRight w:val="0"/>
                  <w:marTop w:val="0"/>
                  <w:marBottom w:val="0"/>
                  <w:divBdr>
                    <w:top w:val="none" w:sz="0" w:space="0" w:color="auto"/>
                    <w:left w:val="none" w:sz="0" w:space="0" w:color="auto"/>
                    <w:bottom w:val="none" w:sz="0" w:space="0" w:color="auto"/>
                    <w:right w:val="none" w:sz="0" w:space="0" w:color="auto"/>
                  </w:divBdr>
                  <w:divsChild>
                    <w:div w:id="1013612138">
                      <w:marLeft w:val="0"/>
                      <w:marRight w:val="0"/>
                      <w:marTop w:val="0"/>
                      <w:marBottom w:val="0"/>
                      <w:divBdr>
                        <w:top w:val="none" w:sz="0" w:space="0" w:color="auto"/>
                        <w:left w:val="none" w:sz="0" w:space="0" w:color="auto"/>
                        <w:bottom w:val="none" w:sz="0" w:space="0" w:color="auto"/>
                        <w:right w:val="none" w:sz="0" w:space="0" w:color="auto"/>
                      </w:divBdr>
                    </w:div>
                  </w:divsChild>
                </w:div>
                <w:div w:id="2117172725">
                  <w:marLeft w:val="0"/>
                  <w:marRight w:val="0"/>
                  <w:marTop w:val="0"/>
                  <w:marBottom w:val="0"/>
                  <w:divBdr>
                    <w:top w:val="none" w:sz="0" w:space="0" w:color="auto"/>
                    <w:left w:val="none" w:sz="0" w:space="0" w:color="auto"/>
                    <w:bottom w:val="none" w:sz="0" w:space="0" w:color="auto"/>
                    <w:right w:val="none" w:sz="0" w:space="0" w:color="auto"/>
                  </w:divBdr>
                  <w:divsChild>
                    <w:div w:id="106348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3527">
          <w:marLeft w:val="0"/>
          <w:marRight w:val="0"/>
          <w:marTop w:val="0"/>
          <w:marBottom w:val="0"/>
          <w:divBdr>
            <w:top w:val="none" w:sz="0" w:space="0" w:color="auto"/>
            <w:left w:val="none" w:sz="0" w:space="0" w:color="auto"/>
            <w:bottom w:val="none" w:sz="0" w:space="0" w:color="auto"/>
            <w:right w:val="none" w:sz="0" w:space="0" w:color="auto"/>
          </w:divBdr>
        </w:div>
        <w:div w:id="1404254686">
          <w:marLeft w:val="0"/>
          <w:marRight w:val="0"/>
          <w:marTop w:val="0"/>
          <w:marBottom w:val="0"/>
          <w:divBdr>
            <w:top w:val="none" w:sz="0" w:space="0" w:color="auto"/>
            <w:left w:val="none" w:sz="0" w:space="0" w:color="auto"/>
            <w:bottom w:val="none" w:sz="0" w:space="0" w:color="auto"/>
            <w:right w:val="none" w:sz="0" w:space="0" w:color="auto"/>
          </w:divBdr>
        </w:div>
        <w:div w:id="514347441">
          <w:marLeft w:val="0"/>
          <w:marRight w:val="0"/>
          <w:marTop w:val="0"/>
          <w:marBottom w:val="0"/>
          <w:divBdr>
            <w:top w:val="none" w:sz="0" w:space="0" w:color="auto"/>
            <w:left w:val="none" w:sz="0" w:space="0" w:color="auto"/>
            <w:bottom w:val="none" w:sz="0" w:space="0" w:color="auto"/>
            <w:right w:val="none" w:sz="0" w:space="0" w:color="auto"/>
          </w:divBdr>
        </w:div>
        <w:div w:id="288173863">
          <w:marLeft w:val="0"/>
          <w:marRight w:val="0"/>
          <w:marTop w:val="0"/>
          <w:marBottom w:val="0"/>
          <w:divBdr>
            <w:top w:val="none" w:sz="0" w:space="0" w:color="auto"/>
            <w:left w:val="none" w:sz="0" w:space="0" w:color="auto"/>
            <w:bottom w:val="none" w:sz="0" w:space="0" w:color="auto"/>
            <w:right w:val="none" w:sz="0" w:space="0" w:color="auto"/>
          </w:divBdr>
        </w:div>
        <w:div w:id="271474023">
          <w:marLeft w:val="0"/>
          <w:marRight w:val="0"/>
          <w:marTop w:val="0"/>
          <w:marBottom w:val="0"/>
          <w:divBdr>
            <w:top w:val="none" w:sz="0" w:space="0" w:color="auto"/>
            <w:left w:val="none" w:sz="0" w:space="0" w:color="auto"/>
            <w:bottom w:val="none" w:sz="0" w:space="0" w:color="auto"/>
            <w:right w:val="none" w:sz="0" w:space="0" w:color="auto"/>
          </w:divBdr>
        </w:div>
        <w:div w:id="1294867962">
          <w:marLeft w:val="0"/>
          <w:marRight w:val="0"/>
          <w:marTop w:val="0"/>
          <w:marBottom w:val="0"/>
          <w:divBdr>
            <w:top w:val="none" w:sz="0" w:space="0" w:color="auto"/>
            <w:left w:val="none" w:sz="0" w:space="0" w:color="auto"/>
            <w:bottom w:val="none" w:sz="0" w:space="0" w:color="auto"/>
            <w:right w:val="none" w:sz="0" w:space="0" w:color="auto"/>
          </w:divBdr>
        </w:div>
        <w:div w:id="235866302">
          <w:marLeft w:val="0"/>
          <w:marRight w:val="0"/>
          <w:marTop w:val="0"/>
          <w:marBottom w:val="0"/>
          <w:divBdr>
            <w:top w:val="none" w:sz="0" w:space="0" w:color="auto"/>
            <w:left w:val="none" w:sz="0" w:space="0" w:color="auto"/>
            <w:bottom w:val="none" w:sz="0" w:space="0" w:color="auto"/>
            <w:right w:val="none" w:sz="0" w:space="0" w:color="auto"/>
          </w:divBdr>
        </w:div>
        <w:div w:id="1703087689">
          <w:marLeft w:val="0"/>
          <w:marRight w:val="0"/>
          <w:marTop w:val="0"/>
          <w:marBottom w:val="0"/>
          <w:divBdr>
            <w:top w:val="none" w:sz="0" w:space="0" w:color="auto"/>
            <w:left w:val="none" w:sz="0" w:space="0" w:color="auto"/>
            <w:bottom w:val="none" w:sz="0" w:space="0" w:color="auto"/>
            <w:right w:val="none" w:sz="0" w:space="0" w:color="auto"/>
          </w:divBdr>
        </w:div>
        <w:div w:id="478310456">
          <w:marLeft w:val="0"/>
          <w:marRight w:val="0"/>
          <w:marTop w:val="0"/>
          <w:marBottom w:val="0"/>
          <w:divBdr>
            <w:top w:val="none" w:sz="0" w:space="0" w:color="auto"/>
            <w:left w:val="none" w:sz="0" w:space="0" w:color="auto"/>
            <w:bottom w:val="none" w:sz="0" w:space="0" w:color="auto"/>
            <w:right w:val="none" w:sz="0" w:space="0" w:color="auto"/>
          </w:divBdr>
        </w:div>
        <w:div w:id="1155999011">
          <w:marLeft w:val="0"/>
          <w:marRight w:val="0"/>
          <w:marTop w:val="0"/>
          <w:marBottom w:val="0"/>
          <w:divBdr>
            <w:top w:val="none" w:sz="0" w:space="0" w:color="auto"/>
            <w:left w:val="none" w:sz="0" w:space="0" w:color="auto"/>
            <w:bottom w:val="none" w:sz="0" w:space="0" w:color="auto"/>
            <w:right w:val="none" w:sz="0" w:space="0" w:color="auto"/>
          </w:divBdr>
        </w:div>
      </w:divsChild>
    </w:div>
    <w:div w:id="1052926543">
      <w:bodyDiv w:val="1"/>
      <w:marLeft w:val="0"/>
      <w:marRight w:val="0"/>
      <w:marTop w:val="0"/>
      <w:marBottom w:val="0"/>
      <w:divBdr>
        <w:top w:val="none" w:sz="0" w:space="0" w:color="auto"/>
        <w:left w:val="none" w:sz="0" w:space="0" w:color="auto"/>
        <w:bottom w:val="none" w:sz="0" w:space="0" w:color="auto"/>
        <w:right w:val="none" w:sz="0" w:space="0" w:color="auto"/>
      </w:divBdr>
    </w:div>
    <w:div w:id="1314063954">
      <w:bodyDiv w:val="1"/>
      <w:marLeft w:val="0"/>
      <w:marRight w:val="0"/>
      <w:marTop w:val="0"/>
      <w:marBottom w:val="0"/>
      <w:divBdr>
        <w:top w:val="none" w:sz="0" w:space="0" w:color="auto"/>
        <w:left w:val="none" w:sz="0" w:space="0" w:color="auto"/>
        <w:bottom w:val="none" w:sz="0" w:space="0" w:color="auto"/>
        <w:right w:val="none" w:sz="0" w:space="0" w:color="auto"/>
      </w:divBdr>
    </w:div>
    <w:div w:id="1331172861">
      <w:bodyDiv w:val="1"/>
      <w:marLeft w:val="0"/>
      <w:marRight w:val="0"/>
      <w:marTop w:val="0"/>
      <w:marBottom w:val="0"/>
      <w:divBdr>
        <w:top w:val="none" w:sz="0" w:space="0" w:color="auto"/>
        <w:left w:val="none" w:sz="0" w:space="0" w:color="auto"/>
        <w:bottom w:val="none" w:sz="0" w:space="0" w:color="auto"/>
        <w:right w:val="none" w:sz="0" w:space="0" w:color="auto"/>
      </w:divBdr>
    </w:div>
    <w:div w:id="1572158835">
      <w:bodyDiv w:val="1"/>
      <w:marLeft w:val="0"/>
      <w:marRight w:val="0"/>
      <w:marTop w:val="0"/>
      <w:marBottom w:val="0"/>
      <w:divBdr>
        <w:top w:val="none" w:sz="0" w:space="0" w:color="auto"/>
        <w:left w:val="none" w:sz="0" w:space="0" w:color="auto"/>
        <w:bottom w:val="none" w:sz="0" w:space="0" w:color="auto"/>
        <w:right w:val="none" w:sz="0" w:space="0" w:color="auto"/>
      </w:divBdr>
    </w:div>
    <w:div w:id="183036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191/1478088706qp063o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Ort21</b:Tag>
    <b:SourceType>JournalArticle</b:SourceType>
    <b:Guid>{0EDF1BC6-CD3A-4069-B2EA-A0677D085B47}</b:Guid>
    <b:Title>Las nuevas tecnologías en niños y adolescentes: dispositivos electrónicos e influencia de las redes sociales</b:Title>
    <b:Year>2021</b:Year>
    <b:JournalName>NURE investigación: Revista Científica de enfermería</b:JournalName>
    <b:Pages>1-12</b:Pages>
    <b:Author>
      <b:Author>
        <b:NameList>
          <b:Person>
            <b:Last>Ortega</b:Last>
            <b:First>E.</b:First>
          </b:Person>
        </b:NameList>
      </b:Author>
    </b:Author>
    <b:Volume>111</b:Volume>
    <b:Issue>8</b:Issue>
    <b:DOI>https://dialnet.unirioja.es/servlet/articulo?codigo=7843711</b:DOI>
    <b:RefOrder>32</b:RefOrder>
  </b:Source>
  <b:Source>
    <b:Tag>Bom22</b:Tag>
    <b:SourceType>JournalArticle</b:SourceType>
    <b:Guid>{6BA006F3-F836-4D5E-AAA7-30D53ECEAF1A}</b:Guid>
    <b:Title>El fomento de la lectura en la escuela: Textos para una reflexión</b:Title>
    <b:JournalName>Textos de didáctica de la lengua y la literatura</b:JournalName>
    <b:Year>2022</b:Year>
    <b:Pages>40-46</b:Pages>
    <b:Author>
      <b:Author>
        <b:NameList>
          <b:Person>
            <b:Last>Bombini</b:Last>
            <b:First>G.</b:First>
          </b:Person>
          <b:Person>
            <b:Last>Lomas</b:Last>
            <b:First>C.</b:First>
          </b:Person>
        </b:NameList>
      </b:Author>
    </b:Author>
    <b:Volume>98</b:Volume>
    <b:DOI>https://dialnet.unirioja.es/servlet/articulo?codigo=8624389</b:DOI>
    <b:RefOrder>33</b:RefOrder>
  </b:Source>
  <b:Source>
    <b:Tag>Páe05</b:Tag>
    <b:SourceType>JournalArticle</b:SourceType>
    <b:Guid>{C72C4ED3-3A94-4857-BBE9-42777AC6E983}</b:Guid>
    <b:Title>Educar para pensar críticamente: Una visión desde el área curricular Estudios Sociales de Educación Básica</b:Title>
    <b:JournalName>Revista de Teoría y Didáctica de las Ciencias Sociales</b:JournalName>
    <b:Year>2005</b:Year>
    <b:Pages>237-263</b:Pages>
    <b:Author>
      <b:Author>
        <b:NameList>
          <b:Person>
            <b:Last>Páez</b:Last>
            <b:First>H.</b:First>
          </b:Person>
          <b:Person>
            <b:Last>Arreaza</b:Last>
            <b:First>E.</b:First>
          </b:Person>
          <b:Person>
            <b:Last>Vizcaya</b:Last>
            <b:First>W.</b:First>
          </b:Person>
        </b:NameList>
      </b:Author>
    </b:Author>
    <b:Issue>10</b:Issue>
    <b:DOI>https://www.redalyc.org/pdf/652/65201013.pdf</b:DOI>
    <b:RefOrder>34</b:RefOrder>
  </b:Source>
  <b:Source>
    <b:Tag>Cob22</b:Tag>
    <b:SourceType>Interview</b:SourceType>
    <b:Guid>{25F28F8C-FDE4-43B2-87FB-52EC209F6208}</b:Guid>
    <b:Title>Experiencias docentes en el desarrollo del pensamiento crítico a través de entornos virtuales de aprendizaje en el área de estudios sociales de EGB superior</b:Title>
    <b:Year>2022</b:Year>
    <b:Month>Septiembre</b:Month>
    <b:Day>6</b:Day>
    <b:Author>
      <b:Interviewee>
        <b:NameList>
          <b:Person>
            <b:Last>Aguirre</b:Last>
            <b:First>Tatiana</b:First>
          </b:Person>
        </b:NameList>
      </b:Interviewee>
      <b:Interviewer>
        <b:NameList>
          <b:Person>
            <b:Last>Carchi</b:Last>
            <b:First>Janneth</b:First>
          </b:Person>
        </b:NameList>
      </b:Interviewer>
    </b:Author>
    <b:RefOrder>35</b:RefOrder>
  </b:Source>
  <b:Source>
    <b:Tag>Koh06</b:Tag>
    <b:SourceType>JournalArticle</b:SourceType>
    <b:Guid>{553EDDF3-FBA1-4C63-AEF3-F316DE5C4ABD}</b:Guid>
    <b:Title>Abusing research: The study of homework and other examples</b:Title>
    <b:JournalName>Phi Delta Kappan</b:JournalName>
    <b:Year>2006</b:Year>
    <b:Pages>9-22</b:Pages>
    <b:Author>
      <b:Author>
        <b:NameList>
          <b:Person>
            <b:Last>Kohn</b:Last>
            <b:First>A.</b:First>
          </b:Person>
        </b:NameList>
      </b:Author>
    </b:Author>
    <b:Volume>88 </b:Volume>
    <b:Issue>1</b:Issue>
    <b:DOI>http://classtap.pbworks.com/f/Homework+May+Not+Be+A+Good+Thing.pdf</b:DOI>
    <b:RefOrder>36</b:RefOrder>
  </b:Source>
  <b:Source>
    <b:Tag>Maray</b:Tag>
    <b:SourceType>InternetSite</b:SourceType>
    <b:Guid>{625D37EF-7B59-4BF6-ADC1-4A0E21608F1C}</b:Guid>
    <b:Title>La interacción social en adolescentes de 15 a 17 años durante la pandemiA</b:Title>
    <b:Year>2022</b:Year>
    <b:URL>https://dspace.uazuay.edu.ec/bitstream/datos/12297/1/17824.pdf</b:URL>
    <b:Author>
      <b:Author>
        <b:NameList>
          <b:Person>
            <b:Last>Martínez</b:Last>
            <b:First>J.</b:First>
          </b:Person>
          <b:Person>
            <b:Last>Neira</b:Last>
            <b:First>J.</b:First>
          </b:Person>
        </b:NameList>
      </b:Author>
    </b:Author>
    <b:ProductionCompany>Univesidad del Azuay</b:ProductionCompany>
    <b:RefOrder>37</b:RefOrder>
  </b:Source>
  <b:Source>
    <b:Tag>Gra93</b:Tag>
    <b:SourceType>Book</b:SourceType>
    <b:Guid>{06E94C56-2783-4EC9-A2DF-1B4BB323F30F}</b:Guid>
    <b:Title>Beyond the Culture Wars: How Teaching the Conflicts Can Revitalize American Education</b:Title>
    <b:Year>1993</b:Year>
    <b:Author>
      <b:Author>
        <b:NameList>
          <b:Person>
            <b:Last>Graff</b:Last>
            <b:First>Gerald</b:First>
          </b:Person>
        </b:NameList>
      </b:Author>
    </b:Author>
    <b:Publisher>W. W. Norton</b:Publisher>
    <b:RefOrder>38</b:RefOrder>
  </b:Source>
  <b:Source>
    <b:Tag>Pau15</b:Tag>
    <b:SourceType>Misc</b:SourceType>
    <b:Guid>{C33D2D06-8FB3-4826-BF7E-FB8D68DAF3D8}</b:Guid>
    <b:Author>
      <b:Author>
        <b:NameList>
          <b:Person>
            <b:Last>Paul</b:Last>
            <b:First>R.,</b:First>
            <b:Middle>y Elder, L.</b:Middle>
          </b:Person>
        </b:NameList>
      </b:Author>
    </b:Author>
    <b:Title>Estándares de Competencia para el Pensamiento Critico </b:Title>
    <b:Year>2015</b:Year>
    <b:City>Dillon Beach</b:City>
    <b:StateProvince>Califorma </b:StateProvince>
    <b:CountryRegion>Estados Unidos </b:CountryRegion>
    <b:Publisher>Fundacion para el Pensamiento Critico </b:Publisher>
    <b:RefOrder>39</b:RefOrder>
  </b:Source>
  <b:Source>
    <b:Tag>McA10</b:Tag>
    <b:SourceType>Misc</b:SourceType>
    <b:Guid>{621FE333-F508-43D7-9628-95B50AF63ECE}</b:Guid>
    <b:Author>
      <b:Author>
        <b:NameList>
          <b:Person>
            <b:Last>McAfee</b:Last>
            <b:First>Thomas</b:First>
          </b:Person>
        </b:NameList>
      </b:Author>
    </b:Author>
    <b:Title>España y el Buen Ciudadano: el Debate Educativo.</b:Title>
    <b:Year>2010</b:Year>
    <b:CountryRegion>España</b:CountryRegion>
    <b:Publisher>Independent Study Project</b:Publisher>
    <b:RefOrder>40</b:RefOrder>
  </b:Source>
  <b:Source>
    <b:Tag>Pet05</b:Tag>
    <b:SourceType>Book</b:SourceType>
    <b:Guid>{D0C956FC-B396-4053-86F0-FF564AD3327F}</b:Guid>
    <b:Title>a vida en las escuelas: una introducción a la pedagogía crítica en los fundamentos de la educación. </b:Title>
    <b:Year>2005</b:Year>
    <b:City>Mexico  </b:City>
    <b:Publisher>Siglo xxi.</b:Publisher>
    <b:Author>
      <b:Author>
        <b:NameList>
          <b:Person>
            <b:Last>McLaren</b:Last>
            <b:First>Peter</b:First>
          </b:Person>
        </b:NameList>
      </b:Author>
    </b:Author>
    <b:RefOrder>41</b:RefOrder>
  </b:Source>
  <b:Source>
    <b:Tag>Car13</b:Tag>
    <b:SourceType>JournalArticle</b:SourceType>
    <b:Guid>{00C26934-BA03-4606-B4D7-C7D84B7C30B2}</b:Guid>
    <b:Title>na reflexión interdisciplinar sobre el pensamiento crítico. Revista Latinoamericana de Estudios Educativos</b:Title>
    <b:Year>2013</b:Year>
    <b:Author>
      <b:Author>
        <b:NameList>
          <b:Person>
            <b:Last>Vêlez</b:Last>
            <b:First>Carlos</b:First>
          </b:Person>
        </b:NameList>
      </b:Author>
    </b:Author>
    <b:JournalName> Revista Latinoamericana de Estudios Educativos </b:JournalName>
    <b:Pages> 9(2), 11-39.</b:Pages>
    <b:RefOrder>42</b:RefOrder>
  </b:Source>
  <b:Source>
    <b:Tag>Lóp12</b:Tag>
    <b:SourceType>JournalArticle</b:SourceType>
    <b:Guid>{7720567D-E218-48F9-89E2-B9D9F7550C66}</b:Guid>
    <b:Author>
      <b:Author>
        <b:NameList>
          <b:Person>
            <b:Last>López</b:Last>
            <b:First>Gabriela</b:First>
          </b:Person>
        </b:NameList>
      </b:Author>
    </b:Author>
    <b:Title>Pensamiento crítico en el aula</b:Title>
    <b:JournalName>Docencia e Investigación</b:JournalName>
    <b:Year>2012</b:Year>
    <b:Pages>41-60</b:Pages>
    <b:Month>Diciembre</b:Month>
    <b:CountryRegion>España</b:CountryRegion>
    <b:RefOrder>43</b:RefOrder>
  </b:Source>
  <b:Source>
    <b:Tag>Sof10</b:Tag>
    <b:SourceType>JournalArticle</b:SourceType>
    <b:Guid>{186C5364-2569-4FF9-989A-231A4A110FDC}</b:Guid>
    <b:Author>
      <b:Author>
        <b:NameList>
          <b:Person>
            <b:Last>Martínez</b:Last>
            <b:First>Sofia</b:First>
          </b:Person>
        </b:NameList>
      </b:Author>
    </b:Author>
    <b:Title>La Educación, cosa de dos: La escuela y la familia</b:Title>
    <b:JournalName>Revista digital para profesionales de la enseñanza</b:JournalName>
    <b:Year>2010</b:Year>
    <b:Pages>1(8), 1-15.</b:Pages>
    <b:RefOrder>44</b:RefOrder>
  </b:Source>
  <b:Source>
    <b:Tag>Tel16</b:Tag>
    <b:SourceType>Film</b:SourceType>
    <b:Guid>{DA90A755-6BC4-47D2-A68B-8731C3AB92D1}</b:Guid>
    <b:Title>La conquista española de América</b:Title>
    <b:Year>2016 </b:Year>
    <b:Author>
      <b:Director>
        <b:NameList>
          <b:Person>
            <b:Last>Española</b:Last>
            <b:First>Television</b:First>
          </b:Person>
        </b:NameList>
      </b:Director>
    </b:Author>
    <b:RefOrder>45</b:RefOrder>
  </b:Source>
  <b:Source>
    <b:Tag>Kat21</b:Tag>
    <b:SourceType>JournalArticle</b:SourceType>
    <b:Guid>{EF291111-1150-4327-A214-AE874EF4EB9B}</b:Guid>
    <b:Title>Aula invertida y pensamiento crítico</b:Title>
    <b:Year>2021</b:Year>
    <b:Publisher>Zavaleta, K. K. P. (2021). . Journal of Latin American Science, 5(2), 463-488.</b:Publisher>
    <b:Author>
      <b:Author>
        <b:NameList>
          <b:Person>
            <b:Last>Zavaleta</b:Last>
            <b:First>Katia</b:First>
          </b:Person>
        </b:NameList>
      </b:Author>
    </b:Author>
    <b:JournalName>Journal of Latin American Science,</b:JournalName>
    <b:Pages>  5(2), 463-488.</b:Pages>
    <b:RefOrder>46</b:RefOrder>
  </b:Source>
  <b:Source>
    <b:Tag>Yvo20</b:Tag>
    <b:SourceType>JournalArticle</b:SourceType>
    <b:Guid>{5FBCFBD3-8C9F-4E2A-BC4E-2DBF0B2A51EE}</b:Guid>
    <b:Author>
      <b:Author>
        <b:NameList>
          <b:Person>
            <b:Last>Gutierrez</b:Last>
            <b:First>Yvonne</b:First>
          </b:Person>
        </b:NameList>
      </b:Author>
    </b:Author>
    <b:Title>El rol del docente actual frente a la masiva utilización de las TIC</b:Title>
    <b:JournalName> Revista Lengua y cultura</b:JournalName>
    <b:Year>2020</b:Year>
    <b:Pages> 1(2), 53-57.</b:Pages>
    <b:RefOrder>47</b:RefOrder>
  </b:Source>
  <b:Source>
    <b:Tag>Jai20</b:Tag>
    <b:SourceType>JournalArticle</b:SourceType>
    <b:Guid>{1B38037E-91BC-49E6-B1A7-6C5F956ED75D}</b:Guid>
    <b:Author>
      <b:Author>
        <b:NameList>
          <b:Person>
            <b:Last>Martínez</b:Last>
            <b:First>Jaime</b:First>
          </b:Person>
        </b:NameList>
      </b:Author>
    </b:Author>
    <b:Title>Percepciones de un grupo de estudiantes de pedagogía, de 4° y 5° año, de tres universidades de Santiago de Chile, respecto de su formación y futuro profesional.</b:Title>
    <b:JournalName>Calidad en la Educación</b:JournalName>
    <b:Year>2020</b:Year>
    <b:Pages>(53), 147-181.</b:Pages>
    <b:RefOrder>48</b:RefOrder>
  </b:Source>
  <b:Source>
    <b:Tag>Esc15</b:Tag>
    <b:SourceType>JournalArticle</b:SourceType>
    <b:Guid>{9D772D88-499B-4F72-AEEC-7B823F418B51}</b:Guid>
    <b:Author>
      <b:Author>
        <b:NameList>
          <b:Person>
            <b:Last>Escobar</b:Last>
            <b:First>N.</b:First>
            <b:Middle>M., Padilla, M. G. L., &amp; González, J. R. V.</b:Middle>
          </b:Person>
        </b:NameList>
      </b:Author>
    </b:Author>
    <b:Title>Pensamiento crítico en profesores de educación secundaria: caracterización de la competencia en instituciones antioqueñas (Colombia). , </b:Title>
    <b:JournalName>Revista Latinoamericana de estudios educativos</b:JournalName>
    <b:Year>2015</b:Year>
    <b:Pages>45(3), 13</b:Pages>
    <b:RefOrder>49</b:RefOrder>
  </b:Source>
  <b:Source>
    <b:Tag>Jav08</b:Tag>
    <b:SourceType>JournalArticle</b:SourceType>
    <b:Guid>{B62FDCBE-373A-4E6D-AA9D-95C86CE46315}</b:Guid>
    <b:Author>
      <b:Author>
        <b:NameList>
          <b:Person>
            <b:Last>Monsalve</b:Last>
            <b:First>J.</b:First>
          </b:Person>
          <b:Person>
            <b:Last>Montoya</b:Last>
            <b:First>J.</b:First>
          </b:Person>
        </b:NameList>
      </b:Author>
    </b:Author>
    <b:Title>Estrategias didácticas para fomentar el pensamiento crítico en el aula</b:Title>
    <b:JournalName>Revista Virtual Universidad Católica del Norte</b:JournalName>
    <b:Year>2008</b:Year>
    <b:RefOrder>50</b:RefOrder>
  </b:Source>
  <b:Source>
    <b:Tag>Ced19</b:Tag>
    <b:SourceType>JournalArticle</b:SourceType>
    <b:Guid>{6A814246-C6E4-4F97-9C4E-67B9C1FA7D2F}</b:Guid>
    <b:Author>
      <b:Author>
        <b:NameList>
          <b:Person>
            <b:Last>Cedeño</b:Last>
            <b:First>E.</b:First>
          </b:Person>
          <b:Person>
            <b:Last>Murillo</b:Last>
            <b:First>J.</b:First>
          </b:Person>
        </b:NameList>
      </b:Author>
    </b:Author>
    <b:Title>Entornos virtuales de aprendizaje y su rol innovador en el proceso de enseñanza</b:Title>
    <b:JournalName>Revista de Ciencias Humanísticas y Sociales</b:JournalName>
    <b:Year>2019</b:Year>
    <b:Pages>138-148</b:Pages>
    <b:RefOrder>51</b:RefOrder>
  </b:Source>
  <b:Source>
    <b:Tag>Tab20</b:Tag>
    <b:SourceType>JournalArticle</b:SourceType>
    <b:Guid>{B97F4BC0-B9CF-4FF2-8F69-6092CDBC9726}</b:Guid>
    <b:Author>
      <b:Author>
        <b:NameList>
          <b:Person>
            <b:Last>Taborda</b:Last>
            <b:First>Y.</b:First>
          </b:Person>
          <b:Person>
            <b:Last>López</b:Last>
            <b:First>L</b:First>
          </b:Person>
        </b:NameList>
      </b:Author>
    </b:Author>
    <b:Title>Pensamiento crítico: una emergencia en los ambientes virtuales de aprendizaje</b:Title>
    <b:JournalName>Revista Innova Educación</b:JournalName>
    <b:Year>2020</b:Year>
    <b:Pages>60-77</b:Pages>
    <b:Volume>2</b:Volume>
    <b:Issue>1</b:Issue>
    <b:RefOrder>52</b:RefOrder>
  </b:Source>
  <b:Source>
    <b:Tag>Fac07</b:Tag>
    <b:SourceType>JournalArticle</b:SourceType>
    <b:Guid>{7AC9A805-E64B-41B3-8E1E-0FDE249B8353}</b:Guid>
    <b:Title>Pensamiento Crítico:¿ Qué es y por qué es importante</b:Title>
    <b:JournalName>Insight assessment</b:JournalName>
    <b:Year>2007</b:Year>
    <b:Pages>23-56</b:Pages>
    <b:Author>
      <b:Author>
        <b:NameList>
          <b:Person>
            <b:Last>Facione</b:Last>
            <b:First>P.</b:First>
          </b:Person>
        </b:NameList>
      </b:Author>
    </b:Author>
    <b:Issue>22</b:Issue>
    <b:URL>https://www.academia.edu/download/4791949/pensamiento_cr%C3%83%C2%ADtico_facione.pdf</b:URL>
    <b:RefOrder>10</b:RefOrder>
  </b:Source>
  <b:Source>
    <b:Tag>Fre05</b:Tag>
    <b:SourceType>Book</b:SourceType>
    <b:Guid>{3AAAAA05-2C2B-44A4-A57A-416C2C377C01}</b:Guid>
    <b:Title>Pedagogía del oprimido</b:Title>
    <b:Year>2005</b:Year>
    <b:Author>
      <b:Author>
        <b:NameList>
          <b:Person>
            <b:Last>Freire</b:Last>
            <b:First>Paulo</b:First>
          </b:Person>
        </b:NameList>
      </b:Author>
    </b:Author>
    <b:Publisher>Siglo XXI editores</b:Publisher>
    <b:RefOrder>16</b:RefOrder>
  </b:Source>
  <b:Source>
    <b:Tag>Bar20</b:Tag>
    <b:SourceType>JournalArticle</b:SourceType>
    <b:Guid>{9F58F085-18F3-456F-869D-FF799CC348B4}</b:Guid>
    <b:Title>Desarrollo de un enfoque pedagógico crítico en la formación inicial del profesorado para romper con la evaluación tradicional en Educación Infantil</b:Title>
    <b:JournalName>Publicaciones</b:JournalName>
    <b:Year>2020</b:Year>
    <b:Pages>207-227</b:Pages>
    <b:Author>
      <b:Author>
        <b:NameList>
          <b:Person>
            <b:Last>Barba</b:Last>
            <b:First>R.</b:First>
          </b:Person>
        </b:NameList>
      </b:Author>
    </b:Author>
    <b:Volume>50</b:Volume>
    <b:Issue>1</b:Issue>
    <b:DOI>https://revistaseug.ugr.es/index.php/publicaciones/article/download/15975/13653/</b:DOI>
    <b:RefOrder>53</b:RefOrder>
  </b:Source>
  <b:Source>
    <b:Tag>Cam07</b:Tag>
    <b:SourceType>Book</b:SourceType>
    <b:Guid>{E85679EE-F8F0-4B20-8D0C-2A37CA7741A7}</b:Guid>
    <b:Author>
      <b:Author>
        <b:NameList>
          <b:Person>
            <b:Last>Campos</b:Last>
            <b:First>Agustín</b:First>
          </b:Person>
        </b:NameList>
      </b:Author>
    </b:Author>
    <b:Title>Pensamiento crítico. Técnicas para su desarrollo</b:Title>
    <b:Year>2007</b:Year>
    <b:Publisher>Cooperativa Editorial Magisterio</b:Publisher>
    <b:RefOrder>1</b:RefOrder>
  </b:Source>
  <b:Source>
    <b:Tag>Mar102</b:Tag>
    <b:SourceType>JournalArticle</b:SourceType>
    <b:Guid>{393B39BB-3DB4-4D47-BD92-E7D9C27CB0AA}</b:Guid>
    <b:Title>La navaja de Ockham y la heterogeneidad de las representaciones: Hacia una ontología de lo abstracto</b:Title>
    <b:Year>2010</b:Year>
    <b:URL>https://www.researchgate.net/profile/Sergio-Martinez-68/publication/317183119_LA_NAVAJA_DE_OCKHAM_Y_LA_HETEROGENEIDAD_DE_LAS_REPRESENTACIONES_HACIA_UNA_ONTOLOGIA_DE_LO_ABSTRACTO_Ockam's_Razor_and_the_Heterogenity_of_Representations_towards_an_Ontology_of_</b:URL>
    <b:JournalName>Azafea. Revista de Filosofía</b:JournalName>
    <b:Pages>97-118</b:Pages>
    <b:Author>
      <b:Author>
        <b:NameList>
          <b:Person>
            <b:Last>Martínez</b:Last>
            <b:First>S.</b:First>
          </b:Person>
        </b:NameList>
      </b:Author>
    </b:Author>
    <b:Volume>12</b:Volume>
    <b:RefOrder>2</b:RefOrder>
  </b:Source>
  <b:Source>
    <b:Tag>Enn64</b:Tag>
    <b:SourceType>JournalArticle</b:SourceType>
    <b:Guid>{5BDF07A5-5D70-450B-9021-C8DBE641F160}</b:Guid>
    <b:Title>A definition of critical thinking</b:Title>
    <b:JournalName>The Reading Teacher</b:JournalName>
    <b:Year>1964</b:Year>
    <b:Pages>599-612</b:Pages>
    <b:Author>
      <b:Author>
        <b:NameList>
          <b:Person>
            <b:Last>Ennis</b:Last>
            <b:First>R.</b:First>
          </b:Person>
        </b:NameList>
      </b:Author>
    </b:Author>
    <b:Volume>17</b:Volume>
    <b:Issue>8</b:Issue>
    <b:URL>https://www.jstor.org/stable/20197828</b:URL>
    <b:RefOrder>3</b:RefOrder>
  </b:Source>
  <b:Source>
    <b:Tag>Hab95</b:Tag>
    <b:SourceType>Book</b:SourceType>
    <b:Guid>{7F5DCE64-C7FE-43B2-8FB9-09968C7B38B7}</b:Guid>
    <b:Title>Conocimento e interés</b:Title>
    <b:Year>1995</b:Year>
    <b:Author>
      <b:Author>
        <b:NameList>
          <b:Person>
            <b:Last>Habermas</b:Last>
            <b:First>J.</b:First>
          </b:Person>
        </b:NameList>
      </b:Author>
    </b:Author>
    <b:Publisher>Universitat de Valencia</b:Publisher>
    <b:RefOrder>4</b:RefOrder>
  </b:Source>
  <b:Source>
    <b:Tag>Enn93</b:Tag>
    <b:SourceType>JournalArticle</b:SourceType>
    <b:Guid>{3233135E-17CE-4C95-8CFC-9918389A477F}</b:Guid>
    <b:Title>Critical thinking assessment</b:Title>
    <b:JournalName>Theory into practice</b:JournalName>
    <b:Year>1993</b:Year>
    <b:Pages>179-186</b:Pages>
    <b:Author>
      <b:Author>
        <b:NameList>
          <b:Person>
            <b:Last>Ennis</b:Last>
            <b:First>R.</b:First>
          </b:Person>
        </b:NameList>
      </b:Author>
    </b:Author>
    <b:Volume>32</b:Volume>
    <b:Issue>3</b:Issue>
    <b:DOI>/https://doi.org/10.1080/00405849309543594</b:DOI>
    <b:RefOrder>5</b:RefOrder>
  </b:Source>
  <b:Source>
    <b:Tag>Roj06</b:Tag>
    <b:SourceType>InternetSite</b:SourceType>
    <b:Guid>{4B049A2A-E3AB-4EC3-A8F6-7480354B2443}</b:Guid>
    <b:Title>¿Qué es pensamiento crítico? Sus dimensiones y fundamentos histórico-filosóficos</b:Title>
    <b:Year>2006</b:Year>
    <b:Author>
      <b:Author>
        <b:NameList>
          <b:Person>
            <b:Last>Rojas</b:Last>
            <b:First>Carlos</b:First>
          </b:Person>
        </b:NameList>
      </b:Author>
    </b:Author>
    <b:Month>
		</b:Month>
    <b:URL>https://iealbertolebrun.files.wordpress.com/2013/01/que-es-pensamiento-critico.pdf</b:URL>
    <b:ProductionCompany>Proyecto para el Desarrollo de Destrezas de Pensamiento</b:ProductionCompany>
    <b:RefOrder>6</b:RefOrder>
  </b:Source>
  <b:Source>
    <b:Tag>Han98</b:Tag>
    <b:SourceType>JournalArticle</b:SourceType>
    <b:Guid>{C8CBCB00-AA52-498E-BF97-B82F32834F26}</b:Guid>
    <b:Title>The seven steps to critical thinking: A practical application of critical thinking skills</b:Title>
    <b:JournalName>NASSP bulletin</b:JournalName>
    <b:Year>1998</b:Year>
    <b:Pages>87-93</b:Pages>
    <b:Author>
      <b:Author>
        <b:NameList>
          <b:Person>
            <b:Last>Hannel</b:Last>
            <b:First>G.</b:First>
          </b:Person>
          <b:Person>
            <b:Last>Hannel</b:Last>
            <b:First>L.</b:First>
          </b:Person>
        </b:NameList>
      </b:Author>
    </b:Author>
    <b:Volume>82 </b:Volume>
    <b:Issue>598</b:Issue>
    <b:URL>https://doi.org/10.1177/019263659808259812</b:URL>
    <b:RefOrder>7</b:RefOrder>
  </b:Source>
  <b:Source>
    <b:Tag>Cap04</b:Tag>
    <b:SourceType>Book</b:SourceType>
    <b:Guid>{8B84621B-2C41-4A66-A30F-7ADE4ABB2FE0}</b:Guid>
    <b:Title>Evaluación educativa: fundamentos y prácticas.</b:Title>
    <b:Year>2004</b:Year>
    <b:Publisher>Siglo XXI</b:Publisher>
    <b:Author>
      <b:Author>
        <b:NameList>
          <b:Person>
            <b:Last>Cappelletti</b:Last>
            <b:First>I.</b:First>
          </b:Person>
        </b:NameList>
      </b:Author>
    </b:Author>
    <b:RefOrder>8</b:RefOrder>
  </b:Source>
  <b:Source>
    <b:Tag>Lae13</b:Tag>
    <b:SourceType>JournalArticle</b:SourceType>
    <b:Guid>{2F0FF0D8-A818-4F47-A6BA-133F7905F0C7}</b:Guid>
    <b:Title>La evaluación de las habilidades del pensamiento crítico asociadas a la escritura digital</b:Title>
    <b:Year>2013</b:Year>
    <b:JournalName>Revista Virtual Universidad Católica del Norte</b:JournalName>
    <b:Pages>68-83</b:Pages>
    <b:Volume>40</b:Volume>
    <b:URL>https://revistavirtual.ucn.edu.co/index.php/RevistaUCN/article/download/446/938</b:URL>
    <b:Author>
      <b:Author>
        <b:NameList>
          <b:Person>
            <b:Last>Calle</b:Last>
            <b:First>Gerson</b:First>
          </b:Person>
        </b:NameList>
      </b:Author>
    </b:Author>
    <b:RefOrder>9</b:RefOrder>
  </b:Source>
  <b:Source>
    <b:Tag>Mar88</b:Tag>
    <b:SourceType>JournalArticle</b:SourceType>
    <b:Guid>{B35B21BA-A6F7-4E5B-A859-BE7C820BA413}</b:Guid>
    <b:Author>
      <b:Author>
        <b:NameList>
          <b:Person>
            <b:Last>Marzano</b:Last>
            <b:First>R.</b:First>
          </b:Person>
          <b:Person>
            <b:Last>Costa</b:Last>
            <b:First>A.</b:First>
          </b:Person>
        </b:NameList>
      </b:Author>
    </b:Author>
    <b:Title>(1988). Question: Do Standardized Tests.</b:Title>
    <b:JournalName>Educational Leadership</b:JournalName>
    <b:Year>1988</b:Year>
    <b:Pages>67-71</b:Pages>
    <b:URL>https://files.ascd.org/staticfiles/ascd/pdf/journals/ed_lead/el_198805_marzano.pdf</b:URL>
    <b:RefOrder>11</b:RefOrder>
  </b:Source>
  <b:Source>
    <b:Tag>Enn85</b:Tag>
    <b:SourceType>InternetSite</b:SourceType>
    <b:Guid>{91B5D8CE-4E3B-4945-BF87-42AFD265EE44}</b:Guid>
    <b:Author>
      <b:Author>
        <b:NameList>
          <b:Person>
            <b:Last>Ennis</b:Last>
            <b:First>R.</b:First>
          </b:Person>
          <b:Person>
            <b:Last>Weir</b:Last>
            <b:First>E.</b:First>
          </b:Person>
        </b:NameList>
      </b:Author>
    </b:Author>
    <b:Title>The Ennis-Weir critical thinking essay test</b:Title>
    <b:Year>1985</b:Year>
    <b:URL>https://isct.stockton.edu/eyos/IFD/content/docs/Critical%20Thinking/Ennis-Weir%20Critical%20Thinking%20Test.pdf</b:URL>
    <b:ProductionCompany>Midwest Publications</b:ProductionCompany>
    <b:RefOrder>12</b:RefOrder>
  </b:Source>
  <b:Source>
    <b:Tag>Fac90</b:Tag>
    <b:SourceType>InternetSite</b:SourceType>
    <b:Guid>{92223DD7-3ACD-4C1A-BB10-D86FE8716FDD}</b:Guid>
    <b:Title>The California Critical Thinking Skills Test--College Level. Technical Report# 1. Experimental Validation and Content Validity</b:Title>
    <b:Year>1990</b:Year>
    <b:URL>https://files.eric.ed.gov/fulltext/ED327549.pdf</b:URL>
    <b:Author>
      <b:Author>
        <b:NameList>
          <b:Person>
            <b:Last>Facione</b:Last>
            <b:First>P.</b:First>
          </b:Person>
        </b:NameList>
      </b:Author>
    </b:Author>
    <b:ProductionCompany>Santa Clara University</b:ProductionCompany>
    <b:RefOrder>13</b:RefOrder>
  </b:Source>
  <b:Source>
    <b:Tag>Hal06</b:Tag>
    <b:SourceType>Book</b:SourceType>
    <b:Guid>{D7C1BC6B-C261-42CD-A32C-7C7373A4E86E}</b:Guid>
    <b:Title>Halpern Critical Thinking Assessment Using Everyday Situations: Background and scoring standards (2º Report). [Unpublished manuscript]</b:Title>
    <b:Year>2006</b:Year>
    <b:Author>
      <b:Author>
        <b:NameList>
          <b:Person>
            <b:Last>Halpern</b:Last>
            <b:First>D.</b:First>
          </b:Person>
        </b:NameList>
      </b:Author>
    </b:Author>
    <b:City>Claremont, CA</b:City>
    <b:Publisher>Claremont McKenna College</b:Publisher>
    <b:RefOrder>14</b:RefOrder>
  </b:Source>
  <b:Source>
    <b:Tag>Zur161</b:Tag>
    <b:SourceType>InternetSite</b:SourceType>
    <b:Guid>{AEAFD7C1-9260-4870-AA34-8608DC14CE35}</b:Guid>
    <b:Title>Evaluación del pensamiento crítico en enfermería: Construcción de un cuestionario basado en el modelo circular de Alfaro-LeFevre</b:Title>
    <b:Year>2016</b:Year>
    <b:Author>
      <b:Author>
        <b:NameList>
          <b:Person>
            <b:Last>Zuriguel</b:Last>
            <b:First>Esperanza</b:First>
          </b:Person>
        </b:NameList>
      </b:Author>
    </b:Author>
    <b:URL>http://diposit.ub.edu/dspace/bitstream/2445/102257/1/EZP_TESIS.pdf</b:URL>
    <b:ProductionCompany>Tesis doctoral. Universidad de Barcelona</b:ProductionCompany>
    <b:RefOrder>15</b:RefOrder>
  </b:Source>
  <b:Source>
    <b:Tag>Gut13</b:Tag>
    <b:SourceType>JournalArticle</b:SourceType>
    <b:Guid>{A0B9B003-BA40-45AE-ABBE-C1492BF9CAB2}</b:Guid>
    <b:Title>Una reflexión interdisciplinar sobre el pensamiento crítico</b:Title>
    <b:Year>2013</b:Year>
    <b:JournalName>Revista Latinoamericana de Estudios Educativos (Colombia)</b:JournalName>
    <b:Pages>11-39</b:Pages>
    <b:Author>
      <b:Author>
        <b:NameList>
          <b:Person>
            <b:Last>Gutiérrez</b:Last>
            <b:First>C.</b:First>
          </b:Person>
        </b:NameList>
      </b:Author>
    </b:Author>
    <b:Volume>9</b:Volume>
    <b:Issue>2</b:Issue>
    <b:URL>https://www.redalyc.org/pdf/1341/134135724002.pdf</b:URL>
    <b:RefOrder>17</b:RefOrder>
  </b:Source>
  <b:Source>
    <b:Tag>Car173</b:Tag>
    <b:SourceType>JournalArticle</b:SourceType>
    <b:Guid>{4EE707DE-3CF7-4910-A525-92332C6F1444}</b:Guid>
    <b:Title>Perspectivas feministas para ampliar horizontes del pensamiento crítico latinoamericano</b:Title>
    <b:JournalName>Feminismos, pensamiento crítico y propuestas alternativas en América Latina</b:JournalName>
    <b:Year>2017</b:Year>
    <b:Pages>17-42</b:Pages>
    <b:Volume>1</b:Volume>
    <b:Issue>1</b:Issue>
    <b:URL>https://elizabethruano.com/wp-content/uploads/2019/07/Carioso-2017-Perspectivas-feministas-para-ampliar-horizontes.pdf</b:URL>
    <b:Author>
      <b:Author>
        <b:NameList>
          <b:Person>
            <b:Last>Carosio</b:Last>
            <b:First>A.</b:First>
          </b:Person>
        </b:NameList>
      </b:Author>
    </b:Author>
    <b:RefOrder>18</b:RefOrder>
  </b:Source>
  <b:Source>
    <b:Tag>Alt11</b:Tag>
    <b:SourceType>JournalArticle</b:SourceType>
    <b:Guid>{5821D631-94BF-4FA8-AC03-1B571CAA74E2}</b:Guid>
    <b:Author>
      <b:Author>
        <b:NameList>
          <b:Person>
            <b:Last>Altamirano</b:Last>
            <b:First>C.</b:First>
          </b:Person>
          <b:Person>
            <b:Last>de Sousa</b:Last>
            <b:First>B.</b:First>
          </b:Person>
          <b:Person>
            <b:Last>Torres</b:Last>
            <b:First>E.</b:First>
          </b:Person>
          <b:Person>
            <b:Last>Miró</b:Last>
            <b:First>C.</b:First>
          </b:Person>
        </b:NameList>
      </b:Author>
    </b:Author>
    <b:Title>Interrogando al pensamiento crítico latinoamericano</b:Title>
    <b:JournalName>Cuadernos del pensamiento crítico latinoamericano</b:JournalName>
    <b:Year>2011</b:Year>
    <b:Pages>1-4</b:Pages>
    <b:URL>https://estudogeral.sib.uc.pt/bitstream/10316/44218/1/Interrogando%20al%20pensamiento%20critico%20latinoamericano.pdf</b:URL>
    <b:Volume>43</b:Volume>
    <b:RefOrder>19</b:RefOrder>
  </b:Source>
  <b:Source>
    <b:Tag>Guí10</b:Tag>
    <b:SourceType>Book</b:SourceType>
    <b:Guid>{0F60D231-6199-42A9-9E58-8C67B3793CC6}</b:Guid>
    <b:Title>Guía didáctica de implementación curricular para EGB y BGU. Ciencias Sociales</b:Title>
    <b:Year>2010</b:Year>
    <b:Publisher>Ministerio de Educación del Ecuador</b:Publisher>
    <b:URL>https://data.miraquetemiro.org/sites/default/files/documentos/Gu%C3%ADa%20soc.pdf</b:URL>
    <b:RefOrder>20</b:RefOrder>
  </b:Source>
  <b:Source>
    <b:Tag>Cur20</b:Tag>
    <b:SourceType>Book</b:SourceType>
    <b:Guid>{283763B5-37C7-4199-A2D5-51BF5C86D41D}</b:Guid>
    <b:Title>Currículos del Ministerio de Educación por Áreas </b:Title>
    <b:Year>2020</b:Year>
    <b:Publisher>Ministerio de Educación de Ecuador</b:Publisher>
    <b:RefOrder>21</b:RefOrder>
  </b:Source>
  <b:Source>
    <b:Tag>Mar193</b:Tag>
    <b:SourceType>JournalArticle</b:SourceType>
    <b:Guid>{52A245D6-4B0A-4DFA-9A87-2847C021DFBB}</b:Guid>
    <b:Title>Pensamiento, libertad y rebeldía</b:Title>
    <b:JournalName>Revista Fe y Libertad</b:JournalName>
    <b:Year>2019</b:Year>
    <b:Pages>16-26</b:Pages>
    <b:Author>
      <b:Author>
        <b:NameList>
          <b:Person>
            <b:Last>Marroquín</b:Last>
            <b:First>C.</b:First>
          </b:Person>
        </b:NameList>
      </b:Author>
    </b:Author>
    <b:Volume>2</b:Volume>
    <b:Issue>1</b:Issue>
    <b:URL>https://revista.feylibertad.org/index.php/revista/article/download/30/30</b:URL>
    <b:RefOrder>22</b:RefOrder>
  </b:Source>
  <b:Source>
    <b:Tag>Ber15</b:Tag>
    <b:SourceType>JournalArticle</b:SourceType>
    <b:Guid>{AA4FD669-DFD3-42EA-9393-FF4B31E808CF}</b:Guid>
    <b:Title>Cuatro herramientas para la indagación crítica en la enseñanza de la historia, las ciencias sociales y la educación ciudadana</b:Title>
    <b:JournalName>Revista de estudios sociales</b:JournalName>
    <b:Year>2015</b:Year>
    <b:Pages>102-118</b:Pages>
    <b:Author>
      <b:Author>
        <b:NameList>
          <b:Person>
            <b:Last>Bermudez</b:Last>
            <b:First>A.</b:First>
          </b:Person>
        </b:NameList>
      </b:Author>
    </b:Author>
    <b:Issue>58</b:Issue>
    <b:URL>https://www.academia.edu/download/38239477/Bermudez_2015_Cuatro_herramientas_para_la_indagacion_critica_ESP.pdf</b:URL>
    <b:RefOrder>23</b:RefOrder>
  </b:Source>
  <b:Source>
    <b:Tag>Men99</b:Tag>
    <b:SourceType>JournalArticle</b:SourceType>
    <b:Guid>{EE1A3D06-673A-433E-9266-F8FDCAD35EAC}</b:Guid>
    <b:Title>Ambientes virtuales de aprendizaje: una metodología para su creación</b:Title>
    <b:JournalName>Informática educativa</b:JournalName>
    <b:Year>1999</b:Year>
    <b:Pages>295-317</b:Pages>
    <b:Author>
      <b:Author>
        <b:NameList>
          <b:Person>
            <b:Last>Mendoza</b:Last>
            <b:First>P.</b:First>
          </b:Person>
          <b:Person>
            <b:Last>Galvis</b:Last>
            <b:First>Á.</b:First>
          </b:Person>
        </b:NameList>
      </b:Author>
    </b:Author>
    <b:Volume>12</b:Volume>
    <b:Issue>2</b:Issue>
    <b:URL>https://avabenm2014.ucoz.com/_ld/0/10_APA6.pdf</b:URL>
    <b:RefOrder>24</b:RefOrder>
  </b:Source>
  <b:Source>
    <b:Tag>Ain01</b:Tag>
    <b:SourceType>Book</b:SourceType>
    <b:Guid>{F7BF91A3-0495-4581-89D3-F15ECDC6BB06}</b:Guid>
    <b:Title>Desarrollo de escuelas inclusivas: ideas, propuestas y experiencias para mejorar las instituciones escolares</b:Title>
    <b:Year>2001</b:Year>
    <b:Author>
      <b:Author>
        <b:NameList>
          <b:Person>
            <b:Last>Ainscow</b:Last>
            <b:First>M.</b:First>
          </b:Person>
        </b:NameList>
      </b:Author>
    </b:Author>
    <b:Publisher>Narcea Ediciones</b:Publisher>
    <b:RefOrder>25</b:RefOrder>
  </b:Source>
  <b:Source>
    <b:Tag>Mor175</b:Tag>
    <b:SourceType>JournalArticle</b:SourceType>
    <b:Guid>{02B0CE2C-2236-4582-B7BC-106E40D4BFD2}</b:Guid>
    <b:Title>Enseñanza de las leyes de Newton en grado décimo bajo la Metodología de Aprendizaje Activo</b:Title>
    <b:Year>2017</b:Year>
    <b:JournalName>Amazônia: Revista de Educação em Ciências e Matemáticas</b:JournalName>
    <b:Pages>80-99</b:Pages>
    <b:Author>
      <b:Author>
        <b:NameList>
          <b:Person>
            <b:Last>Moreno</b:Last>
            <b:First>J.</b:First>
          </b:Person>
          <b:Person>
            <b:Last>Velásquez</b:Last>
            <b:First>N.</b:First>
          </b:Person>
        </b:NameList>
      </b:Author>
    </b:Author>
    <b:Volume>13</b:Volume>
    <b:Issue>26</b:Issue>
    <b:URL>https://www.redalyc.org/pdf/551/55150357003.pdf</b:URL>
    <b:RefOrder>26</b:RefOrder>
  </b:Source>
  <b:Source>
    <b:Tag>Lév07</b:Tag>
    <b:SourceType>Book</b:SourceType>
    <b:Guid>{6787E68F-97E3-414C-91B3-E87B10422364}</b:Guid>
    <b:Title>Cibercultura. La cultura de la sociedad digital</b:Title>
    <b:Year>2007</b:Year>
    <b:Author>
      <b:Author>
        <b:NameList>
          <b:Person>
            <b:Last>Lévy</b:Last>
            <b:First>P.</b:First>
          </b:Person>
        </b:NameList>
      </b:Author>
    </b:Author>
    <b:Publisher>Rubí</b:Publisher>
    <b:RefOrder>27</b:RefOrder>
  </b:Source>
  <b:Source>
    <b:Tag>Bus10</b:Tag>
    <b:SourceType>JournalArticle</b:SourceType>
    <b:Guid>{C20A4023-55B2-4838-9B72-7F8AF97D7C0B}</b:Guid>
    <b:Title>Los entornos virtuales como espacios de enseñanza y aprendizaje. Una perspectiva psicoeducativa para su caracterización y análisis</b:Title>
    <b:Year>2010</b:Year>
    <b:JournalName>Revista mexicana de investigación educativa</b:JournalName>
    <b:Pages>163-184</b:Pages>
    <b:Author>
      <b:Author>
        <b:NameList>
          <b:Person>
            <b:Last>Bustos</b:Last>
            <b:First>A.</b:First>
          </b:Person>
          <b:Person>
            <b:Last>Coll</b:Last>
            <b:First>C.</b:First>
          </b:Person>
        </b:NameList>
      </b:Author>
    </b:Author>
    <b:Volume>15</b:Volume>
    <b:Issue>44</b:Issue>
    <b:URL>http://www.scielo.org.mx/pdf/rmie/v15n44/v15n44a9.pdf</b:URL>
    <b:RefOrder>28</b:RefOrder>
  </b:Source>
  <b:Source>
    <b:Tag>End20</b:Tag>
    <b:SourceType>Film</b:SourceType>
    <b:Guid>{971684F4-BEDD-400D-873D-D9626229611A}</b:Guid>
    <b:Title>De Guayaquil a Quito, Ecuador 1929</b:Title>
    <b:Year>2020</b:Year>
    <b:Author>
      <b:Author>
        <b:NameList>
          <b:Person>
            <b:Last>Endara</b:Last>
            <b:First>Carlos</b:First>
          </b:Person>
        </b:NameList>
      </b:Author>
      <b:Director>
        <b:NameList>
          <b:Person>
            <b:Last>Endara</b:Last>
            <b:First>Carlos</b:First>
          </b:Person>
        </b:NameList>
      </b:Director>
    </b:Author>
    <b:ProductionCompany>Universidad Andina Simón Bolívar</b:ProductionCompany>
    <b:URL>https://www.youtube.com/watch?v=bklXDPIwQqU</b:URL>
    <b:RefOrder>29</b:RefOrder>
  </b:Source>
  <b:Source>
    <b:Tag>Gwy98</b:Tag>
    <b:SourceType>Film</b:SourceType>
    <b:Guid>{BD571D19-CEB3-49CF-A8B5-C9E3315560CC}</b:Guid>
    <b:Title>Egipto: los orígenes</b:Title>
    <b:Author>
      <b:Director>
        <b:NameList>
          <b:Person>
            <b:Last>Gwyn</b:Last>
            <b:First>John</b:First>
          </b:Person>
        </b:NameList>
      </b:Director>
    </b:Author>
    <b:Year>1998</b:Year>
    <b:ProductionCompany>S4C / Discovery Channel</b:ProductionCompany>
    <b:URL>https://www.youtube.com/watch?v=3VsfescV7ag</b:URL>
    <b:RefOrder>30</b:RefOrder>
  </b:Source>
  <b:Source>
    <b:Tag>Pau08</b:Tag>
    <b:SourceType>Book</b:SourceType>
    <b:Guid>{B1FE634B-BEF6-42CB-90CD-6BE6AE70FDCC}</b:Guid>
    <b:Title>The Miniature Guide to Critical Thinking Concepts and Tools</b:Title>
    <b:Year>2008</b:Year>
    <b:Publisher>Foundation for Critical Thinking Press</b:Publisher>
    <b:Author>
      <b:Author>
        <b:NameList>
          <b:Person>
            <b:Last>Paul</b:Last>
            <b:First>R.</b:First>
          </b:Person>
          <b:Person>
            <b:Last>Elder</b:Last>
            <b:First>L.</b:First>
          </b:Person>
        </b:NameList>
      </b:Author>
    </b:Author>
    <b:RefOrder>31</b:RefOrder>
  </b:Source>
  <b:Source>
    <b:Tag>Bez18</b:Tag>
    <b:SourceType>JournalArticle</b:SourceType>
    <b:Guid>{060383AF-5E66-4804-B214-31594AB2177B}</b:Guid>
    <b:Title>El pensamiento crítico desde la perspectiva de los docentes universitarios</b:Title>
    <b:Year>2018</b:Year>
    <b:JournalName>Estudios pedagógicos (Valdivia)</b:JournalName>
    <b:Pages>89-113</b:Pages>
    <b:Author>
      <b:Author>
        <b:NameList>
          <b:Person>
            <b:Last>Bezanilla-Albisua</b:Last>
            <b:First>M.</b:First>
          </b:Person>
          <b:Person>
            <b:Last>Poblete-Ruiz</b:Last>
            <b:First>M.</b:First>
          </b:Person>
          <b:Person>
            <b:Last>Fernández-Nogueira</b:Last>
            <b:First>D.</b:First>
          </b:Person>
          <b:Person>
            <b:Last>Arranz-Turnes</b:Last>
            <b:First>S.</b:First>
          </b:Person>
          <b:Person>
            <b:Last>Campo-Carrasco</b:Last>
            <b:First>L.</b:First>
          </b:Person>
        </b:NameList>
      </b:Author>
    </b:Author>
    <b:Volume>44</b:Volume>
    <b:Issue>1</b:Issue>
    <b:DOI>http://dx.doi.org/10.4067/S0718-07052018000100089 </b:DOI>
    <b:RefOrder>54</b:RefOrder>
  </b:Source>
  <b:Source>
    <b:Tag>Ali13</b:Tag>
    <b:SourceType>JournalArticle</b:SourceType>
    <b:Guid>{190182B9-48FC-4F28-83F8-D55D392D3DD0}</b:Guid>
    <b:Title>Teachers’ perception of the barriers to critical thinking</b:Title>
    <b:JournalName>Procedia-Social and Behavioral Sciences</b:JournalName>
    <b:Year>2013</b:Year>
    <b:Pages>1-5</b:Pages>
    <b:Author>
      <b:Author>
        <b:NameList>
          <b:Person>
            <b:Last>Aliakbari</b:Last>
            <b:First>M.</b:First>
          </b:Person>
          <b:Person>
            <b:Last>Sadeghdaghighi</b:Last>
            <b:First>A.</b:First>
          </b:Person>
        </b:NameList>
      </b:Author>
    </b:Author>
    <b:Issue>70</b:Issue>
    <b:DOI>https://doi.org/10.1016/j.sbspro.2013.01.031</b:DOI>
    <b:RefOrder>55</b:RefOrder>
  </b:Source>
  <b:Source>
    <b:Tag>May08</b:Tag>
    <b:SourceType>JournalArticle</b:SourceType>
    <b:Guid>{8000FB19-FE4B-47E6-95D7-CDA29265256F}</b:Guid>
    <b:Title>Estrategias didácticas para fomentar el pensamiento crítico en el aula</b:Title>
    <b:JournalName>Revista Virtual Universidad Católica del Norte</b:JournalName>
    <b:Year>2008</b:Year>
    <b:Pages>1-12</b:Pages>
    <b:Author>
      <b:Author>
        <b:NameList>
          <b:Person>
            <b:Last>Maya</b:Last>
            <b:First>J.</b:First>
          </b:Person>
          <b:Person>
            <b:Last>Gómez</b:Last>
            <b:First>J.</b:First>
          </b:Person>
        </b:NameList>
      </b:Author>
    </b:Author>
    <b:Issue>25</b:Issue>
    <b:URL>https://www.redalyc.org/pdf/1942/194215513012.pdf</b:URL>
    <b:RefOrder>56</b:RefOrder>
  </b:Source>
  <b:Source>
    <b:Tag>God18</b:Tag>
    <b:SourceType>JournalArticle</b:SourceType>
    <b:Guid>{5E360222-FFC4-4B25-A37B-0EED1AA1B0CD}</b:Guid>
    <b:Title>Pensamiento crítico y tecnología en la educación universitaria. Una aproximación teórica</b:Title>
    <b:JournalName>Revista espacios</b:JournalName>
    <b:Year>2018</b:Year>
    <b:Pages>1-12</b:Pages>
    <b:Author>
      <b:Author>
        <b:NameList>
          <b:Person>
            <b:Last>Godoy</b:Last>
            <b:First>M.</b:First>
          </b:Person>
          <b:Person>
            <b:Last>Calero</b:Last>
            <b:First>K.</b:First>
          </b:Person>
        </b:NameList>
      </b:Author>
    </b:Author>
    <b:Volume>39</b:Volume>
    <b:Issue>25</b:Issue>
    <b:URL>https://www.revistaespacios.com/a18v39n25/18392536.html</b:URL>
    <b:RefOrder>57</b:RefOrder>
  </b:Source>
  <b:Source>
    <b:Tag>Seg131</b:Tag>
    <b:SourceType>JournalArticle</b:SourceType>
    <b:Guid>{1A6EFC22-23EC-4894-B727-35538846D533}</b:Guid>
    <b:Title>Entornos virtuales de aprendizaje: Nuevos retos educativos</b:Title>
    <b:JournalName>Etic@ net. Revista científica electrónica de Educación y Comunicación en la Sociedad del Conocimiento</b:JournalName>
    <b:Year>2013</b:Year>
    <b:Pages>260-272</b:Pages>
    <b:Author>
      <b:Author>
        <b:NameList>
          <b:Person>
            <b:Last>Segura-Robles</b:Last>
            <b:First>A.</b:First>
          </b:Person>
          <b:Person>
            <b:Last>Gallardo-Vigil</b:Last>
            <b:First>M.</b:First>
          </b:Person>
        </b:NameList>
      </b:Author>
    </b:Author>
    <b:Volume>13</b:Volume>
    <b:Issue>2</b:Issue>
    <b:DOI>https://doi.org/10.30827/eticanet.v13i2.11995</b:DOI>
    <b:RefOrder>58</b:RefOrder>
  </b:Source>
  <b:Source>
    <b:Tag>Yom19</b:Tag>
    <b:SourceType>Book</b:SourceType>
    <b:Guid>{554A4A9E-1D86-4071-8474-84B6D04A2A12}</b:Guid>
    <b:Title>Aprendizaje colaborativo en entornos virtuales </b:Title>
    <b:Year>2019</b:Year>
    <b:City>Quito </b:City>
    <b:Author>
      <b:Author>
        <b:NameList>
          <b:Person>
            <b:Last>Mora</b:Last>
            <b:First>Yomayra</b:First>
            <b:Middle>Angelly Rodríguez</b:Middle>
          </b:Person>
        </b:NameList>
      </b:Author>
    </b:Author>
    <b:Publisher>Creative Commons </b:Publisher>
    <b:RefOrder>59</b:RefOrder>
  </b:Source>
  <b:Source>
    <b:Tag>Mar13</b:Tag>
    <b:SourceType>Book</b:SourceType>
    <b:Guid>{2CEE1F10-739C-4C29-A6BA-55F70C86A004}</b:Guid>
    <b:Author>
      <b:Author>
        <b:NameList>
          <b:Person>
            <b:Last>Prensky</b:Last>
            <b:First>Marc</b:First>
          </b:Person>
        </b:NameList>
      </b:Author>
    </b:Author>
    <b:Title> Enseñar a nativos digitales</b:Title>
    <b:Year>2013</b:Year>
    <b:City>Mexico </b:City>
    <b:Publisher>Grupo SM </b:Publisher>
    <b:RefOrder>60</b:RefOrder>
  </b:Source>
  <b:Source>
    <b:Tag>Tam15</b:Tag>
    <b:SourceType>JournalArticle</b:SourceType>
    <b:Guid>{B4063E18-1303-488B-B55E-349D0BB17539}</b:Guid>
    <b:Title>El pensamiento crítico en la educación. Algunas categorías centrales en su estudio</b:Title>
    <b:JournalName>Revista latinoamericana de estudios educativos (Colombia)</b:JournalName>
    <b:Year>2015</b:Year>
    <b:Pages>111-133 </b:Pages>
    <b:Author>
      <b:Author>
        <b:NameList>
          <b:Person>
            <b:Last>Tamayo</b:Last>
            <b:First>Ó.</b:First>
          </b:Person>
          <b:Person>
            <b:Last>Zona</b:Last>
            <b:First>R.</b:First>
          </b:Person>
          <b:Person>
            <b:Last>Loaiza</b:Last>
            <b:First>Y.</b:First>
          </b:Person>
        </b:NameList>
      </b:Author>
    </b:Author>
    <b:Volume>11</b:Volume>
    <b:Issue>2</b:Issue>
    <b:URL>https://www.redalyc.org/pdf/1341/134146842006.pdf</b:URL>
    <b:RefOrder>61</b:RefOrder>
  </b:Source>
  <b:Source>
    <b:Tag>Ara21</b:Tag>
    <b:SourceType>JournalArticle</b:SourceType>
    <b:Guid>{7809280B-88E0-461C-8FD1-DACE8E1A0669}</b:Guid>
    <b:Title>Los entornos virtuales de aprendizaje (EVA) en la disrupción del proceso enseñanza-aprendizaje</b:Title>
    <b:JournalName>Ciencia Latina Revista Científica Multidisciplinar</b:JournalName>
    <b:Year>2021</b:Year>
    <b:Pages>13474-13485</b:Pages>
    <b:Author>
      <b:Author>
        <b:NameList>
          <b:Person>
            <b:Last>Aranda</b:Last>
            <b:First>Y.</b:First>
          </b:Person>
          <b:Person>
            <b:Last>Bula</b:Last>
            <b:First>E.</b:First>
          </b:Person>
        </b:NameList>
      </b:Author>
    </b:Author>
    <b:Volume>5</b:Volume>
    <b:Issue>6</b:Issue>
    <b:DOI>https://doi.org/10.37811/cl_rcm.v5i6.1337</b:DOI>
    <b:RefOrder>62</b:RefOrder>
  </b:Source>
</b:Sources>
</file>

<file path=customXml/itemProps1.xml><?xml version="1.0" encoding="utf-8"?>
<ds:datastoreItem xmlns:ds="http://schemas.openxmlformats.org/officeDocument/2006/customXml" ds:itemID="{7D91C8D0-76B0-464C-BBAF-09B5C9CD2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2926</Words>
  <Characters>16094</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2026-10-30T14:38:00Z</dcterms:created>
  <dcterms:modified xsi:type="dcterms:W3CDTF">2026-10-30T14:40:00Z</dcterms:modified>
</cp:coreProperties>
</file>